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AE0A6" w14:textId="77777777" w:rsidR="00C338AF" w:rsidRDefault="00C8189C">
      <w:pPr>
        <w:pStyle w:val="Cm"/>
        <w:pBdr>
          <w:bottom w:val="single" w:sz="4" w:space="1" w:color="00000A"/>
        </w:pBdr>
        <w:jc w:val="center"/>
        <w:rPr>
          <w:sz w:val="36"/>
        </w:rPr>
      </w:pPr>
      <w:r>
        <w:rPr>
          <w:sz w:val="36"/>
        </w:rPr>
        <w:t>TANTÁRGYI ADATLAP</w:t>
      </w:r>
    </w:p>
    <w:p w14:paraId="18491653" w14:textId="77777777" w:rsidR="00C338AF" w:rsidRDefault="00C338AF"/>
    <w:p w14:paraId="46EA35B5" w14:textId="77777777" w:rsidR="00C338AF" w:rsidRDefault="00C8189C">
      <w:pPr>
        <w:pStyle w:val="Cm"/>
        <w:numPr>
          <w:ilvl w:val="0"/>
          <w:numId w:val="10"/>
        </w:numPr>
        <w:ind w:left="709" w:hanging="709"/>
        <w:jc w:val="center"/>
      </w:pPr>
      <w:r>
        <w:t>Tantárgyleírás</w:t>
      </w:r>
    </w:p>
    <w:p w14:paraId="221B4C81" w14:textId="77777777" w:rsidR="00C338AF" w:rsidRDefault="00C338AF"/>
    <w:p w14:paraId="0C52ABFC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t>alapadatok</w:t>
      </w:r>
    </w:p>
    <w:p w14:paraId="5A9CA216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Tantárgy neve </w:t>
      </w:r>
    </w:p>
    <w:p w14:paraId="46030108" w14:textId="77777777" w:rsidR="00E72AAE" w:rsidRPr="00E72AAE" w:rsidRDefault="00E72AAE">
      <w:pPr>
        <w:rPr>
          <w:b/>
        </w:rPr>
      </w:pPr>
      <w:r>
        <w:rPr>
          <w:b/>
        </w:rPr>
        <w:t>VÍZ- ÉS SZENNYVÍZTISZTÍTÁS</w:t>
      </w:r>
    </w:p>
    <w:p w14:paraId="7C4B5DFA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Azonosító (tantárgykód)</w:t>
      </w:r>
    </w:p>
    <w:p w14:paraId="72614A5C" w14:textId="77777777" w:rsidR="00C338AF" w:rsidRDefault="00C8189C">
      <w:r>
        <w:rPr>
          <w:b/>
        </w:rPr>
        <w:t>BMEEO</w:t>
      </w:r>
      <w:r w:rsidR="00E72AAE">
        <w:rPr>
          <w:b/>
        </w:rPr>
        <w:t>VKA</w:t>
      </w:r>
      <w:r w:rsidR="00322395">
        <w:rPr>
          <w:b/>
        </w:rPr>
        <w:t>-</w:t>
      </w:r>
      <w:r w:rsidR="00E72AAE">
        <w:rPr>
          <w:b/>
        </w:rPr>
        <w:t>H</w:t>
      </w:r>
      <w:r w:rsidR="00322395">
        <w:rPr>
          <w:b/>
        </w:rPr>
        <w:t>1</w:t>
      </w:r>
    </w:p>
    <w:p w14:paraId="196EA615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 tantárgy jellege</w:t>
      </w:r>
    </w:p>
    <w:p w14:paraId="44E63471" w14:textId="77777777" w:rsidR="00C338AF" w:rsidRDefault="00C8189C">
      <w:proofErr w:type="gramStart"/>
      <w:r>
        <w:t>kontaktórás</w:t>
      </w:r>
      <w:proofErr w:type="gramEnd"/>
      <w:r>
        <w:t xml:space="preserve"> tanegység</w:t>
      </w:r>
    </w:p>
    <w:p w14:paraId="4E76B176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Óraszámok </w:t>
      </w:r>
    </w:p>
    <w:tbl>
      <w:tblPr>
        <w:tblStyle w:val="Rcsostblzat"/>
        <w:tblW w:w="1019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C338AF" w14:paraId="719A8258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2D09D" w14:textId="77777777" w:rsidR="00C338AF" w:rsidRDefault="00C8189C">
            <w:pPr>
              <w:spacing w:after="0"/>
            </w:pPr>
            <w:r>
              <w:t>típus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9DB38" w14:textId="77777777" w:rsidR="00C338AF" w:rsidRDefault="00C8189C" w:rsidP="00C8189C">
            <w:pPr>
              <w:spacing w:after="0"/>
              <w:jc w:val="center"/>
            </w:pPr>
            <w:r>
              <w:t>óraszám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BD86D" w14:textId="77777777" w:rsidR="00C338AF" w:rsidRDefault="00C338AF">
            <w:pPr>
              <w:spacing w:after="0"/>
              <w:jc w:val="center"/>
            </w:pPr>
          </w:p>
        </w:tc>
      </w:tr>
      <w:tr w:rsidR="00C338AF" w14:paraId="5C3B0B5F" w14:textId="77777777"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76560" w14:textId="77777777" w:rsidR="00C338AF" w:rsidRDefault="00C8189C">
            <w:pPr>
              <w:spacing w:after="0"/>
            </w:pPr>
            <w:r>
              <w:t>előadás (elmélet)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8F403" w14:textId="77777777" w:rsidR="00C338AF" w:rsidRDefault="00322395">
            <w:pPr>
              <w:spacing w:after="0"/>
              <w:jc w:val="center"/>
            </w:pPr>
            <w:r>
              <w:t>3</w:t>
            </w:r>
            <w:r w:rsidR="00C8189C">
              <w:t>/hét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5CC4A" w14:textId="77777777" w:rsidR="00C338AF" w:rsidRDefault="00C338AF">
            <w:pPr>
              <w:spacing w:after="0"/>
              <w:jc w:val="center"/>
            </w:pPr>
          </w:p>
        </w:tc>
      </w:tr>
    </w:tbl>
    <w:p w14:paraId="24EBE3F6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Tanulmányi teljesítményértékelés (minőségi értékelés) típusa</w:t>
      </w:r>
    </w:p>
    <w:p w14:paraId="0895138A" w14:textId="77777777" w:rsidR="00C338AF" w:rsidRDefault="00322395">
      <w:proofErr w:type="gramStart"/>
      <w:r>
        <w:t>vizsga</w:t>
      </w:r>
      <w:proofErr w:type="gramEnd"/>
    </w:p>
    <w:p w14:paraId="5A1B3DF8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Kreditszám </w:t>
      </w:r>
    </w:p>
    <w:p w14:paraId="62252CB5" w14:textId="77777777" w:rsidR="00C338AF" w:rsidRDefault="00322395">
      <w:r>
        <w:t>4</w:t>
      </w:r>
    </w:p>
    <w:p w14:paraId="4730FEE2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Tantárgyfelelős</w:t>
      </w:r>
    </w:p>
    <w:p w14:paraId="3DAF09DB" w14:textId="77777777" w:rsidR="00C338AF" w:rsidRDefault="00C8189C">
      <w:r>
        <w:tab/>
      </w:r>
      <w:proofErr w:type="gramStart"/>
      <w:r>
        <w:t>neve</w:t>
      </w:r>
      <w:proofErr w:type="gramEnd"/>
      <w:r>
        <w:t>:</w:t>
      </w:r>
      <w:r>
        <w:tab/>
      </w:r>
      <w:r>
        <w:tab/>
      </w:r>
      <w:r>
        <w:tab/>
        <w:t xml:space="preserve">Dr. </w:t>
      </w:r>
      <w:proofErr w:type="spellStart"/>
      <w:r w:rsidR="00322395">
        <w:t>Laky</w:t>
      </w:r>
      <w:proofErr w:type="spellEnd"/>
      <w:r w:rsidR="00322395">
        <w:t xml:space="preserve"> Dóra</w:t>
      </w:r>
    </w:p>
    <w:p w14:paraId="7F19E3A8" w14:textId="77777777" w:rsidR="00C338AF" w:rsidRDefault="00C8189C">
      <w:r>
        <w:tab/>
      </w:r>
      <w:proofErr w:type="gramStart"/>
      <w:r>
        <w:t>beosztása</w:t>
      </w:r>
      <w:proofErr w:type="gramEnd"/>
      <w:r>
        <w:t>:</w:t>
      </w:r>
      <w:r>
        <w:tab/>
      </w:r>
      <w:r>
        <w:tab/>
        <w:t>egyetemi docens</w:t>
      </w:r>
    </w:p>
    <w:p w14:paraId="1F3FA0B7" w14:textId="77777777" w:rsidR="00C338AF" w:rsidRDefault="00C8189C">
      <w:r>
        <w:tab/>
      </w:r>
      <w:proofErr w:type="gramStart"/>
      <w:r>
        <w:t>elérhetősége</w:t>
      </w:r>
      <w:proofErr w:type="gramEnd"/>
      <w:r>
        <w:t>:</w:t>
      </w:r>
      <w:r>
        <w:tab/>
      </w:r>
      <w:r w:rsidR="00322395">
        <w:t>laky.dora@epito.bme.hu</w:t>
      </w:r>
      <w:r>
        <w:t xml:space="preserve"> </w:t>
      </w:r>
    </w:p>
    <w:p w14:paraId="6705498C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Tantárgyat gondozó oktatási szervezeti egység</w:t>
      </w:r>
    </w:p>
    <w:p w14:paraId="50E35B1F" w14:textId="77777777" w:rsidR="00C338AF" w:rsidRDefault="00322395">
      <w:pPr>
        <w:jc w:val="left"/>
      </w:pPr>
      <w:r>
        <w:t>Vízi Közmű és Környezetmérnöki Tanszék</w:t>
      </w:r>
      <w:r w:rsidR="00C8189C">
        <w:t xml:space="preserve"> (</w:t>
      </w:r>
      <w:r w:rsidR="00E72AAE">
        <w:t>www.vkkt.bme.hu</w:t>
      </w:r>
      <w:r w:rsidR="00865A30" w:rsidRPr="00865A30">
        <w:t>)</w:t>
      </w:r>
    </w:p>
    <w:p w14:paraId="3D2B973E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weblapja </w:t>
      </w:r>
    </w:p>
    <w:p w14:paraId="4C55FD57" w14:textId="77777777" w:rsidR="00C338AF" w:rsidRDefault="00BB1D49">
      <w:proofErr w:type="gramStart"/>
      <w:r w:rsidRPr="00BB1D49">
        <w:t>http</w:t>
      </w:r>
      <w:proofErr w:type="gramEnd"/>
      <w:r w:rsidRPr="00BB1D49">
        <w:t>://epito.bme.hu/BMEEOVKA-H1</w:t>
      </w:r>
      <w:r w:rsidR="00C8189C">
        <w:t xml:space="preserve"> </w:t>
      </w:r>
    </w:p>
    <w:p w14:paraId="19E4C7F4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oktatásának nyelve </w:t>
      </w:r>
    </w:p>
    <w:p w14:paraId="78D78AD8" w14:textId="77777777" w:rsidR="00C338AF" w:rsidRDefault="00C8189C">
      <w:proofErr w:type="gramStart"/>
      <w:r>
        <w:t>magyar</w:t>
      </w:r>
      <w:proofErr w:type="gramEnd"/>
      <w:r>
        <w:t xml:space="preserve"> és angol </w:t>
      </w:r>
    </w:p>
    <w:p w14:paraId="7FF66AF0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A tantárgy tantervi szerepe </w:t>
      </w:r>
    </w:p>
    <w:p w14:paraId="2B717DBD" w14:textId="77777777" w:rsidR="00C338AF" w:rsidRDefault="006973D6">
      <w:r>
        <w:t>K</w:t>
      </w:r>
      <w:r w:rsidR="00C8189C">
        <w:t xml:space="preserve">ötelező az </w:t>
      </w:r>
      <w:r>
        <w:t>építőmérnöki szak (</w:t>
      </w:r>
      <w:proofErr w:type="spellStart"/>
      <w:r>
        <w:t>B</w:t>
      </w:r>
      <w:r w:rsidR="00C8189C">
        <w:t>Sc</w:t>
      </w:r>
      <w:proofErr w:type="spellEnd"/>
      <w:r w:rsidR="00C8189C">
        <w:t>)</w:t>
      </w:r>
      <w:r>
        <w:t xml:space="preserve">, </w:t>
      </w:r>
      <w:r w:rsidRPr="006973D6">
        <w:t>Infrastruktúra-építőmérnöki ágazat</w:t>
      </w:r>
      <w:r>
        <w:t>,</w:t>
      </w:r>
      <w:r w:rsidR="00C8189C">
        <w:t xml:space="preserve"> </w:t>
      </w:r>
      <w:r w:rsidRPr="006973D6">
        <w:t>Vízi közmű és kö</w:t>
      </w:r>
      <w:r w:rsidRPr="006973D6">
        <w:t>r</w:t>
      </w:r>
      <w:r w:rsidRPr="006973D6">
        <w:t>nyezetmérnöki specializáció</w:t>
      </w:r>
      <w:r>
        <w:t>ján</w:t>
      </w:r>
    </w:p>
    <w:p w14:paraId="3BF17B93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Közvetlen </w:t>
      </w:r>
      <w:proofErr w:type="spellStart"/>
      <w:r>
        <w:t>előkövetelmények</w:t>
      </w:r>
      <w:proofErr w:type="spellEnd"/>
      <w:r>
        <w:t xml:space="preserve"> </w:t>
      </w:r>
    </w:p>
    <w:p w14:paraId="3A1E8DEB" w14:textId="77777777" w:rsidR="00C338AF" w:rsidRDefault="00C8189C">
      <w:r>
        <w:t xml:space="preserve">Erős </w:t>
      </w:r>
      <w:proofErr w:type="spellStart"/>
      <w:r>
        <w:t>előkövetelmény</w:t>
      </w:r>
      <w:proofErr w:type="spellEnd"/>
      <w:r>
        <w:t xml:space="preserve"> </w:t>
      </w:r>
    </w:p>
    <w:p w14:paraId="41375034" w14:textId="77777777" w:rsidR="00C338AF" w:rsidRPr="00C77BF4" w:rsidRDefault="00E64205" w:rsidP="00865A30">
      <w:pPr>
        <w:ind w:left="408" w:firstLine="408"/>
        <w:rPr>
          <w:color w:val="auto"/>
        </w:rPr>
      </w:pPr>
      <w:proofErr w:type="spellStart"/>
      <w:r>
        <w:rPr>
          <w:color w:val="auto"/>
        </w:rPr>
        <w:t>Vízminőségszabályozás</w:t>
      </w:r>
      <w:proofErr w:type="spellEnd"/>
      <w:r>
        <w:rPr>
          <w:color w:val="auto"/>
        </w:rPr>
        <w:t xml:space="preserve"> (</w:t>
      </w:r>
      <w:r w:rsidRPr="00E64205">
        <w:rPr>
          <w:color w:val="auto"/>
        </w:rPr>
        <w:t>BMEEOVKAI44</w:t>
      </w:r>
      <w:r>
        <w:rPr>
          <w:color w:val="auto"/>
        </w:rPr>
        <w:t>)</w:t>
      </w:r>
    </w:p>
    <w:p w14:paraId="6DCA25EE" w14:textId="77777777" w:rsidR="00C338AF" w:rsidRPr="00C77BF4" w:rsidRDefault="00C8189C">
      <w:pPr>
        <w:rPr>
          <w:color w:val="auto"/>
        </w:rPr>
      </w:pPr>
      <w:r w:rsidRPr="00C77BF4">
        <w:rPr>
          <w:color w:val="auto"/>
        </w:rPr>
        <w:t>Kizáró feltételek (nem vehető fel a tantárgy, ha korábban teljesítette az alábbi tantárgyak vagy tantárgycsoportok bármelyikét)</w:t>
      </w:r>
    </w:p>
    <w:p w14:paraId="7F1E167D" w14:textId="77777777" w:rsidR="00C338AF" w:rsidRDefault="00E64205">
      <w:pPr>
        <w:ind w:firstLine="708"/>
        <w:rPr>
          <w:color w:val="auto"/>
        </w:rPr>
      </w:pPr>
      <w:r>
        <w:rPr>
          <w:color w:val="auto"/>
        </w:rPr>
        <w:t>Víz- és szennyvíztisztítás</w:t>
      </w:r>
      <w:r w:rsidR="00865A30" w:rsidRPr="00C77BF4">
        <w:rPr>
          <w:color w:val="auto"/>
        </w:rPr>
        <w:t xml:space="preserve"> (BMEEOVK</w:t>
      </w:r>
      <w:r>
        <w:rPr>
          <w:color w:val="auto"/>
        </w:rPr>
        <w:t>ASG3</w:t>
      </w:r>
      <w:r w:rsidR="00865A30" w:rsidRPr="00C77BF4">
        <w:rPr>
          <w:color w:val="auto"/>
        </w:rPr>
        <w:t>)</w:t>
      </w:r>
    </w:p>
    <w:p w14:paraId="4051C381" w14:textId="77777777" w:rsidR="00E9585C" w:rsidRPr="00C77BF4" w:rsidRDefault="00E9585C">
      <w:pPr>
        <w:ind w:firstLine="708"/>
        <w:rPr>
          <w:color w:val="auto"/>
        </w:rPr>
      </w:pPr>
      <w:r>
        <w:rPr>
          <w:color w:val="auto"/>
        </w:rPr>
        <w:t>Környezettechnika (BMEEOVKASH1)</w:t>
      </w:r>
    </w:p>
    <w:p w14:paraId="1BC5FCB7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lastRenderedPageBreak/>
        <w:t>A tantárgyleírás érvényessége</w:t>
      </w:r>
    </w:p>
    <w:p w14:paraId="157CAB96" w14:textId="77777777" w:rsidR="00C338AF" w:rsidRDefault="00C8189C">
      <w:r>
        <w:t>2017. szeptember 1-től.</w:t>
      </w:r>
    </w:p>
    <w:p w14:paraId="6ACF4852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t xml:space="preserve">Célkitűzések és tanulási eredmények </w:t>
      </w:r>
    </w:p>
    <w:p w14:paraId="2D165FC9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Célkitűzések </w:t>
      </w:r>
    </w:p>
    <w:p w14:paraId="4E656E5F" w14:textId="06E35B49" w:rsidR="00C338AF" w:rsidRDefault="00BB1D49" w:rsidP="00BB1D49">
      <w:r>
        <w:t>A tantá</w:t>
      </w:r>
      <w:r w:rsidR="00E64205">
        <w:t>r</w:t>
      </w:r>
      <w:r>
        <w:t>gy célja az ivóvíz, valamint kommunális szennyvíz tisztítására alkalmas technológiák megismertetése a hallgatókkal. Bemutatjuk az egyes eljárások elméleti hátterét, műtárgyait, a méretezés alapja</w:t>
      </w:r>
      <w:r w:rsidR="00E64205">
        <w:t xml:space="preserve">it. </w:t>
      </w:r>
      <w:r>
        <w:t xml:space="preserve">A </w:t>
      </w:r>
      <w:r w:rsidR="00E64205">
        <w:t xml:space="preserve">félév első felében a </w:t>
      </w:r>
      <w:r>
        <w:t>hallgatók megismerik az ivóvíz előállításának techn</w:t>
      </w:r>
      <w:r>
        <w:t>o</w:t>
      </w:r>
      <w:r>
        <w:t>lógiáit</w:t>
      </w:r>
      <w:r w:rsidR="00E64205">
        <w:t>: (1) i</w:t>
      </w:r>
      <w:r>
        <w:t>vóvízbázisok típusait és az azokban található szennyezőanyagokat, eltávolításuk jelentőségét</w:t>
      </w:r>
      <w:r w:rsidR="00E64205">
        <w:t>, (2) a</w:t>
      </w:r>
      <w:r>
        <w:t>z ivóvizek tisztításának technológiáit</w:t>
      </w:r>
      <w:r w:rsidR="00E64205">
        <w:t>, (3) f</w:t>
      </w:r>
      <w:r>
        <w:t xml:space="preserve">elszín alatti víz tisztítására alkalmas technológiák </w:t>
      </w:r>
      <w:r w:rsidR="00056A52">
        <w:t>tervezésének</w:t>
      </w:r>
      <w:r>
        <w:t xml:space="preserve"> </w:t>
      </w:r>
      <w:r w:rsidR="00E64205">
        <w:t>alap</w:t>
      </w:r>
      <w:r>
        <w:t>elvei</w:t>
      </w:r>
      <w:r w:rsidR="00E64205">
        <w:t xml:space="preserve">t. </w:t>
      </w:r>
      <w:r>
        <w:t>A félév második felében</w:t>
      </w:r>
      <w:r w:rsidR="00E64205" w:rsidRPr="00E64205">
        <w:t xml:space="preserve"> </w:t>
      </w:r>
      <w:r w:rsidR="00E64205">
        <w:t>a hallgatók megismerik</w:t>
      </w:r>
      <w:r>
        <w:t xml:space="preserve"> a szennyvíztisztítási technológiákat</w:t>
      </w:r>
      <w:r w:rsidR="00E64205">
        <w:t>: (1) a szennyvíz fogalmát, (2) a m</w:t>
      </w:r>
      <w:r>
        <w:t>echanikai szennyvíztisztítás</w:t>
      </w:r>
      <w:r w:rsidR="00E64205">
        <w:t xml:space="preserve"> műtárgyait, (2) a </w:t>
      </w:r>
      <w:r>
        <w:t>biológiai szennyvíztisztítás</w:t>
      </w:r>
      <w:r w:rsidR="00E64205">
        <w:t xml:space="preserve"> alapjait, (3) a</w:t>
      </w:r>
      <w:r>
        <w:t xml:space="preserve"> kémiai szennyvíztisztítás és a foszfor eltávolítás</w:t>
      </w:r>
      <w:r w:rsidR="00E64205">
        <w:t>, valamint a</w:t>
      </w:r>
      <w:r>
        <w:t xml:space="preserve"> nitrogén vegyületek eltávolítá</w:t>
      </w:r>
      <w:r w:rsidR="00E64205">
        <w:t>sának alapjait, (4) a s</w:t>
      </w:r>
      <w:r>
        <w:t>zennyvíziszapok ké</w:t>
      </w:r>
      <w:r>
        <w:t>p</w:t>
      </w:r>
      <w:r>
        <w:t>ződés</w:t>
      </w:r>
      <w:r w:rsidR="00E64205">
        <w:t>ének, kezelésének (aerob, anaerob) és elhelyezésének alapjait</w:t>
      </w:r>
      <w:r>
        <w:t>.</w:t>
      </w:r>
    </w:p>
    <w:p w14:paraId="24480FE0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bookmarkStart w:id="0" w:name="_Ref448730858"/>
      <w:bookmarkEnd w:id="0"/>
      <w:r>
        <w:t xml:space="preserve">Tanulási eredmények </w:t>
      </w:r>
    </w:p>
    <w:p w14:paraId="7B95C449" w14:textId="77777777" w:rsidR="00C77BF4" w:rsidRPr="004543C3" w:rsidRDefault="000755D4" w:rsidP="00C77BF4">
      <w:pPr>
        <w:rPr>
          <w:sz w:val="20"/>
          <w:szCs w:val="20"/>
        </w:rPr>
      </w:pPr>
      <w:r w:rsidRPr="004543C3">
        <w:rPr>
          <w:sz w:val="20"/>
          <w:szCs w:val="20"/>
        </w:rPr>
        <w:t xml:space="preserve">A tantárgy sikeres </w:t>
      </w:r>
      <w:r>
        <w:rPr>
          <w:sz w:val="20"/>
          <w:szCs w:val="20"/>
        </w:rPr>
        <w:t>teljesítése után a hallgató:</w:t>
      </w:r>
    </w:p>
    <w:p w14:paraId="3B982266" w14:textId="77777777" w:rsidR="00C77BF4" w:rsidRPr="00056A52" w:rsidRDefault="00C77BF4" w:rsidP="00C77BF4">
      <w:pPr>
        <w:pStyle w:val="Listaszerbekezds"/>
        <w:numPr>
          <w:ilvl w:val="0"/>
          <w:numId w:val="12"/>
        </w:numPr>
        <w:rPr>
          <w:sz w:val="22"/>
        </w:rPr>
      </w:pPr>
      <w:r w:rsidRPr="00056A52">
        <w:rPr>
          <w:sz w:val="22"/>
        </w:rPr>
        <w:t>Tudás</w:t>
      </w:r>
    </w:p>
    <w:p w14:paraId="566C82E3" w14:textId="77777777" w:rsidR="00481B4C" w:rsidRPr="00056A52" w:rsidRDefault="00481B4C" w:rsidP="00481B4C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az ivóvízre vonatkozó jogi szabályozás alapjait</w:t>
      </w:r>
    </w:p>
    <w:p w14:paraId="1BE62485" w14:textId="77777777" w:rsidR="00056A52" w:rsidRPr="00056A52" w:rsidRDefault="0090712E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Tisztában van</w:t>
      </w:r>
      <w:r w:rsidR="00056A52">
        <w:rPr>
          <w:sz w:val="22"/>
        </w:rPr>
        <w:t xml:space="preserve"> az ivóvízellátás céljára szolgáló </w:t>
      </w:r>
      <w:r w:rsidR="00056A52" w:rsidRPr="00056A52">
        <w:rPr>
          <w:sz w:val="22"/>
        </w:rPr>
        <w:t>vízbázi</w:t>
      </w:r>
      <w:r w:rsidR="00481B4C">
        <w:rPr>
          <w:sz w:val="22"/>
        </w:rPr>
        <w:t xml:space="preserve">sokban </w:t>
      </w:r>
      <w:r w:rsidRPr="00056A52">
        <w:rPr>
          <w:sz w:val="22"/>
        </w:rPr>
        <w:t>található szennyezőanyagokkal</w:t>
      </w:r>
      <w:r w:rsidR="00C77BF4" w:rsidRPr="00056A52">
        <w:rPr>
          <w:sz w:val="22"/>
        </w:rPr>
        <w:t xml:space="preserve">, </w:t>
      </w:r>
      <w:r w:rsidR="00056A52" w:rsidRPr="00056A52">
        <w:rPr>
          <w:sz w:val="22"/>
        </w:rPr>
        <w:t xml:space="preserve">azok káros hatásaival </w:t>
      </w:r>
    </w:p>
    <w:p w14:paraId="6713C4ED" w14:textId="77777777" w:rsidR="00056A52" w:rsidRPr="00056A52" w:rsidRDefault="00056A52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az ivóvizek előállítására szolgáló technológiák alapjait</w:t>
      </w:r>
    </w:p>
    <w:p w14:paraId="7C76A44A" w14:textId="77777777" w:rsidR="00056A52" w:rsidRPr="00056A52" w:rsidRDefault="00056A52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 xml:space="preserve">Tisztában </w:t>
      </w:r>
      <w:r w:rsidR="00055FCA">
        <w:rPr>
          <w:sz w:val="22"/>
        </w:rPr>
        <w:t xml:space="preserve">van </w:t>
      </w:r>
      <w:r w:rsidRPr="00056A52">
        <w:rPr>
          <w:sz w:val="22"/>
        </w:rPr>
        <w:t>az ivóvízként szolgáló nyersvízben található vas, mangán, ammónium, arzén, és oldott gázok eltávolítására szolgáló műszaki megoldások, valamint a vízlágyítás és fertőtlenítés alapjaival</w:t>
      </w:r>
    </w:p>
    <w:p w14:paraId="6E89B62C" w14:textId="77777777" w:rsidR="00056A52" w:rsidRPr="00056A52" w:rsidRDefault="00056A52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Tisztában van a szennyvíz fogalmával, a szennyvizek minőségének jellemzésére szolgáló par</w:t>
      </w:r>
      <w:r w:rsidRPr="00056A52">
        <w:rPr>
          <w:sz w:val="22"/>
        </w:rPr>
        <w:t>a</w:t>
      </w:r>
      <w:r w:rsidRPr="00056A52">
        <w:rPr>
          <w:sz w:val="22"/>
        </w:rPr>
        <w:t>méterekkel</w:t>
      </w:r>
      <w:r w:rsidR="00481B4C">
        <w:rPr>
          <w:sz w:val="22"/>
        </w:rPr>
        <w:t>, határértékekkel</w:t>
      </w:r>
    </w:p>
    <w:p w14:paraId="341EA99A" w14:textId="77777777" w:rsidR="00056A52" w:rsidRPr="00056A52" w:rsidRDefault="00056A52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 mechanikai szennyvíztisztítás műtárgyait</w:t>
      </w:r>
    </w:p>
    <w:p w14:paraId="175D36EA" w14:textId="77777777" w:rsidR="00056A52" w:rsidRPr="00056A52" w:rsidRDefault="00056A52" w:rsidP="00C77BF4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 biológiai szennyvíztisztítás alapjait</w:t>
      </w:r>
    </w:p>
    <w:p w14:paraId="6E106ACC" w14:textId="77777777" w:rsidR="00056A52" w:rsidRPr="00056A52" w:rsidRDefault="00056A52" w:rsidP="00056A52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 kémiai szennyvíztisztítás és a foszfor eltávolítás, valamint a nitrogén vegyületek eltáv</w:t>
      </w:r>
      <w:r w:rsidRPr="00056A52">
        <w:rPr>
          <w:sz w:val="22"/>
        </w:rPr>
        <w:t>o</w:t>
      </w:r>
      <w:r w:rsidRPr="00056A52">
        <w:rPr>
          <w:sz w:val="22"/>
        </w:rPr>
        <w:t>lításának alapjait</w:t>
      </w:r>
    </w:p>
    <w:p w14:paraId="06DE125E" w14:textId="77777777" w:rsidR="00056A52" w:rsidRPr="00056A52" w:rsidRDefault="00056A52" w:rsidP="00056A52">
      <w:pPr>
        <w:pStyle w:val="Listaszerbekezds"/>
        <w:numPr>
          <w:ilvl w:val="1"/>
          <w:numId w:val="13"/>
        </w:numPr>
        <w:rPr>
          <w:sz w:val="22"/>
        </w:rPr>
      </w:pPr>
      <w:r w:rsidRPr="00056A52">
        <w:rPr>
          <w:sz w:val="22"/>
        </w:rPr>
        <w:t>Ismeri a szennyvíziszapok képződésének, kezelésének (aerob, anaerob) és elhelyezésének alapjait</w:t>
      </w:r>
    </w:p>
    <w:p w14:paraId="1073562D" w14:textId="77777777" w:rsidR="00C77BF4" w:rsidRPr="00481B4C" w:rsidRDefault="00C77BF4" w:rsidP="00C77BF4">
      <w:pPr>
        <w:pStyle w:val="Listaszerbekezds"/>
        <w:numPr>
          <w:ilvl w:val="0"/>
          <w:numId w:val="12"/>
        </w:numPr>
        <w:rPr>
          <w:sz w:val="22"/>
        </w:rPr>
      </w:pPr>
      <w:r w:rsidRPr="00481B4C">
        <w:rPr>
          <w:sz w:val="22"/>
        </w:rPr>
        <w:t>Képesség</w:t>
      </w:r>
    </w:p>
    <w:p w14:paraId="33BDAE67" w14:textId="77777777" w:rsidR="00481B4C" w:rsidRPr="00481B4C" w:rsidRDefault="00481B4C" w:rsidP="00C77BF4">
      <w:pPr>
        <w:pStyle w:val="Listaszerbekezds"/>
        <w:numPr>
          <w:ilvl w:val="1"/>
          <w:numId w:val="14"/>
        </w:numPr>
        <w:rPr>
          <w:sz w:val="22"/>
        </w:rPr>
      </w:pPr>
      <w:r w:rsidRPr="00481B4C">
        <w:rPr>
          <w:sz w:val="22"/>
        </w:rPr>
        <w:t>Ivóvíz- és tisztított szennyvíz minőségét értékeli, szükség esetén a tisztítási hatásfok növelésére vonatkozóan javaslatokat tesz</w:t>
      </w:r>
    </w:p>
    <w:p w14:paraId="0ED865C9" w14:textId="77777777" w:rsidR="00C77BF4" w:rsidRPr="00481B4C" w:rsidRDefault="0090712E" w:rsidP="00C77BF4">
      <w:pPr>
        <w:pStyle w:val="Listaszerbekezds"/>
        <w:numPr>
          <w:ilvl w:val="1"/>
          <w:numId w:val="14"/>
        </w:numPr>
        <w:rPr>
          <w:sz w:val="22"/>
        </w:rPr>
      </w:pPr>
      <w:r w:rsidRPr="00481B4C">
        <w:rPr>
          <w:sz w:val="22"/>
        </w:rPr>
        <w:t>Összeállít</w:t>
      </w:r>
      <w:r w:rsidR="00C77BF4" w:rsidRPr="00481B4C">
        <w:rPr>
          <w:sz w:val="22"/>
        </w:rPr>
        <w:t xml:space="preserve"> </w:t>
      </w:r>
      <w:r w:rsidR="00056A52" w:rsidRPr="00481B4C">
        <w:rPr>
          <w:sz w:val="22"/>
        </w:rPr>
        <w:t>oldott gázok, ammónium, vas, mangán és arzént tartalm</w:t>
      </w:r>
      <w:r w:rsidR="00481B4C" w:rsidRPr="00481B4C">
        <w:rPr>
          <w:sz w:val="22"/>
        </w:rPr>
        <w:t>az</w:t>
      </w:r>
      <w:r w:rsidR="00056A52" w:rsidRPr="00481B4C">
        <w:rPr>
          <w:sz w:val="22"/>
        </w:rPr>
        <w:t>ó nyersvizek tisztítására a</w:t>
      </w:r>
      <w:r w:rsidR="00056A52" w:rsidRPr="00481B4C">
        <w:rPr>
          <w:sz w:val="22"/>
        </w:rPr>
        <w:t>l</w:t>
      </w:r>
      <w:r w:rsidR="00481B4C">
        <w:rPr>
          <w:sz w:val="22"/>
        </w:rPr>
        <w:t>kalmas technológiákat</w:t>
      </w:r>
    </w:p>
    <w:p w14:paraId="1EC5849F" w14:textId="77777777" w:rsidR="00C77BF4" w:rsidRPr="00481B4C" w:rsidRDefault="00056A52" w:rsidP="00C77BF4">
      <w:pPr>
        <w:pStyle w:val="Listaszerbekezds"/>
        <w:numPr>
          <w:ilvl w:val="1"/>
          <w:numId w:val="14"/>
        </w:numPr>
        <w:rPr>
          <w:sz w:val="22"/>
        </w:rPr>
      </w:pPr>
      <w:r w:rsidRPr="00481B4C">
        <w:rPr>
          <w:sz w:val="22"/>
        </w:rPr>
        <w:t>Képes szennyvíztisztító telep</w:t>
      </w:r>
      <w:r w:rsidR="00481B4C">
        <w:rPr>
          <w:sz w:val="22"/>
        </w:rPr>
        <w:t xml:space="preserve"> blokksémájának összeállítására</w:t>
      </w:r>
    </w:p>
    <w:p w14:paraId="1A7D8EDF" w14:textId="77777777" w:rsidR="00C77BF4" w:rsidRPr="00481B4C" w:rsidRDefault="00C77BF4" w:rsidP="00C77BF4">
      <w:pPr>
        <w:pStyle w:val="Listaszerbekezds"/>
        <w:numPr>
          <w:ilvl w:val="0"/>
          <w:numId w:val="12"/>
        </w:numPr>
        <w:rPr>
          <w:sz w:val="22"/>
        </w:rPr>
      </w:pPr>
      <w:r w:rsidRPr="00481B4C">
        <w:rPr>
          <w:sz w:val="22"/>
        </w:rPr>
        <w:t>Attitűd</w:t>
      </w:r>
    </w:p>
    <w:p w14:paraId="45E9B81F" w14:textId="77777777" w:rsidR="00C77BF4" w:rsidRPr="00481B4C" w:rsidRDefault="00C77BF4" w:rsidP="00C77BF4">
      <w:pPr>
        <w:pStyle w:val="Listaszerbekezds"/>
        <w:numPr>
          <w:ilvl w:val="1"/>
          <w:numId w:val="15"/>
        </w:numPr>
        <w:rPr>
          <w:sz w:val="22"/>
        </w:rPr>
      </w:pPr>
      <w:r w:rsidRPr="00481B4C">
        <w:rPr>
          <w:sz w:val="22"/>
        </w:rPr>
        <w:t>Folyamatos ismeretszerzéssel bővíti tudását, és ehhez akár a kötelező tananyagokon túlmenően, webes források</w:t>
      </w:r>
      <w:r w:rsidR="00481B4C">
        <w:rPr>
          <w:sz w:val="22"/>
        </w:rPr>
        <w:t>ból keres választ a kérdéseire</w:t>
      </w:r>
    </w:p>
    <w:p w14:paraId="324960EB" w14:textId="77777777" w:rsidR="00C77BF4" w:rsidRPr="00481B4C" w:rsidRDefault="00C77BF4" w:rsidP="00C77BF4">
      <w:pPr>
        <w:pStyle w:val="Listaszerbekezds"/>
        <w:numPr>
          <w:ilvl w:val="1"/>
          <w:numId w:val="15"/>
        </w:numPr>
        <w:rPr>
          <w:sz w:val="22"/>
        </w:rPr>
      </w:pPr>
      <w:r w:rsidRPr="00481B4C">
        <w:rPr>
          <w:sz w:val="22"/>
        </w:rPr>
        <w:t>Szóbeli kommunikációban törekszik az érthető, szabatos fogalmazásra, írásbeli megnyilvánulás</w:t>
      </w:r>
      <w:r w:rsidRPr="00481B4C">
        <w:rPr>
          <w:sz w:val="22"/>
        </w:rPr>
        <w:t>a</w:t>
      </w:r>
      <w:r w:rsidRPr="00481B4C">
        <w:rPr>
          <w:sz w:val="22"/>
        </w:rPr>
        <w:t>iban törekszik az igényes, rendezett, a mérnöki szakma által elvárható szín</w:t>
      </w:r>
      <w:r w:rsidR="00481B4C">
        <w:rPr>
          <w:sz w:val="22"/>
        </w:rPr>
        <w:t>vonalú dokumentáció készítésére</w:t>
      </w:r>
    </w:p>
    <w:p w14:paraId="4417E12D" w14:textId="77777777" w:rsidR="00C77BF4" w:rsidRPr="00481B4C" w:rsidRDefault="00C77BF4" w:rsidP="00C77BF4">
      <w:pPr>
        <w:pStyle w:val="Listaszerbekezds"/>
        <w:numPr>
          <w:ilvl w:val="0"/>
          <w:numId w:val="12"/>
        </w:numPr>
        <w:rPr>
          <w:sz w:val="22"/>
        </w:rPr>
      </w:pPr>
      <w:r w:rsidRPr="00481B4C">
        <w:rPr>
          <w:sz w:val="22"/>
        </w:rPr>
        <w:t>Önállóság és felelősség</w:t>
      </w:r>
    </w:p>
    <w:p w14:paraId="632651F7" w14:textId="77777777" w:rsidR="00C338AF" w:rsidRPr="00481B4C" w:rsidRDefault="00C77BF4" w:rsidP="00C77BF4">
      <w:pPr>
        <w:pStyle w:val="Listaszerbekezds"/>
        <w:numPr>
          <w:ilvl w:val="1"/>
          <w:numId w:val="16"/>
        </w:numPr>
        <w:rPr>
          <w:sz w:val="22"/>
        </w:rPr>
      </w:pPr>
      <w:r w:rsidRPr="00481B4C">
        <w:rPr>
          <w:sz w:val="22"/>
        </w:rPr>
        <w:t>Gondolkozásában a rendsz</w:t>
      </w:r>
      <w:r w:rsidR="00481B4C">
        <w:rPr>
          <w:sz w:val="22"/>
        </w:rPr>
        <w:t>erelvű megközelítést alkalmazza</w:t>
      </w:r>
    </w:p>
    <w:p w14:paraId="502349AB" w14:textId="77777777" w:rsidR="00C338AF" w:rsidRDefault="00C338AF"/>
    <w:p w14:paraId="74CE1643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Oktatási módszertan </w:t>
      </w:r>
    </w:p>
    <w:p w14:paraId="2138ECD2" w14:textId="709B8679" w:rsidR="00C338AF" w:rsidRDefault="00C77BF4">
      <w:pPr>
        <w:rPr>
          <w:color w:val="FF0000"/>
        </w:rPr>
      </w:pPr>
      <w:r w:rsidRPr="00C77BF4">
        <w:t xml:space="preserve">Előadások elméleti ismeretekkel; </w:t>
      </w:r>
      <w:proofErr w:type="gramStart"/>
      <w:r w:rsidRPr="00C77BF4">
        <w:t>kommunikáció írásban</w:t>
      </w:r>
      <w:proofErr w:type="gramEnd"/>
      <w:r w:rsidRPr="00C77BF4">
        <w:t xml:space="preserve"> és szóban. </w:t>
      </w:r>
    </w:p>
    <w:p w14:paraId="1FE1FE19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lastRenderedPageBreak/>
        <w:t>Részletes tárgyprogram</w:t>
      </w:r>
    </w:p>
    <w:p w14:paraId="3BDDB556" w14:textId="77777777" w:rsidR="00C338AF" w:rsidRDefault="00C338AF">
      <w:pPr>
        <w:ind w:left="578" w:hanging="578"/>
      </w:pPr>
    </w:p>
    <w:tbl>
      <w:tblPr>
        <w:tblW w:w="963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1"/>
        <w:gridCol w:w="9188"/>
      </w:tblGrid>
      <w:tr w:rsidR="00C338AF" w14:paraId="7DBD15AC" w14:textId="77777777" w:rsidTr="00481B4C">
        <w:tc>
          <w:tcPr>
            <w:tcW w:w="451" w:type="dxa"/>
            <w:shd w:val="clear" w:color="auto" w:fill="auto"/>
            <w:vAlign w:val="center"/>
          </w:tcPr>
          <w:p w14:paraId="43827D2F" w14:textId="77777777" w:rsidR="00C338AF" w:rsidRDefault="00C8189C">
            <w:pPr>
              <w:pStyle w:val="TableHeading"/>
            </w:pPr>
            <w:r>
              <w:t>hét</w:t>
            </w:r>
          </w:p>
        </w:tc>
        <w:tc>
          <w:tcPr>
            <w:tcW w:w="9188" w:type="dxa"/>
            <w:shd w:val="clear" w:color="auto" w:fill="auto"/>
            <w:vAlign w:val="center"/>
          </w:tcPr>
          <w:p w14:paraId="00093EDB" w14:textId="77777777" w:rsidR="00C338AF" w:rsidRDefault="00C8189C" w:rsidP="00C77BF4">
            <w:pPr>
              <w:pStyle w:val="TableHeading"/>
            </w:pPr>
            <w:r>
              <w:t xml:space="preserve">Előadások témaköre </w:t>
            </w:r>
          </w:p>
        </w:tc>
      </w:tr>
      <w:tr w:rsidR="00E64205" w14:paraId="564DDFC6" w14:textId="77777777" w:rsidTr="00481B4C">
        <w:tc>
          <w:tcPr>
            <w:tcW w:w="451" w:type="dxa"/>
            <w:shd w:val="clear" w:color="auto" w:fill="auto"/>
          </w:tcPr>
          <w:p w14:paraId="59F55794" w14:textId="77777777" w:rsidR="00E64205" w:rsidRPr="00EF619A" w:rsidRDefault="00E64205" w:rsidP="003E1FBF">
            <w:r w:rsidRPr="00EF619A">
              <w:t>1.</w:t>
            </w:r>
          </w:p>
        </w:tc>
        <w:tc>
          <w:tcPr>
            <w:tcW w:w="9188" w:type="dxa"/>
            <w:shd w:val="clear" w:color="auto" w:fill="auto"/>
          </w:tcPr>
          <w:p w14:paraId="342DA634" w14:textId="77777777" w:rsidR="00E64205" w:rsidRPr="008D5BEA" w:rsidRDefault="00E64205" w:rsidP="00EC5EE8">
            <w:r w:rsidRPr="008D5BEA">
              <w:t>Ivóvízbázisok típusai és az azokban található szennyezőanyagok, eltávolításuk jele</w:t>
            </w:r>
            <w:r w:rsidRPr="008D5BEA">
              <w:t>n</w:t>
            </w:r>
            <w:r w:rsidRPr="008D5BEA">
              <w:t>tősége (közvetett és közvetlen egészségügyi és egyéb hatások). Az Ivóvízminőség J</w:t>
            </w:r>
            <w:r w:rsidRPr="008D5BEA">
              <w:t>a</w:t>
            </w:r>
            <w:r w:rsidRPr="008D5BEA">
              <w:t>vító Program szükségessége, célkomponensek, határidők.</w:t>
            </w:r>
          </w:p>
        </w:tc>
      </w:tr>
      <w:tr w:rsidR="00E64205" w14:paraId="7D0ACDF3" w14:textId="77777777" w:rsidTr="00481B4C">
        <w:tc>
          <w:tcPr>
            <w:tcW w:w="451" w:type="dxa"/>
            <w:shd w:val="clear" w:color="auto" w:fill="auto"/>
          </w:tcPr>
          <w:p w14:paraId="048E8254" w14:textId="77777777" w:rsidR="00E64205" w:rsidRPr="00EF619A" w:rsidRDefault="00E64205" w:rsidP="003E1FBF">
            <w:r w:rsidRPr="00EF619A">
              <w:t>2.</w:t>
            </w:r>
          </w:p>
        </w:tc>
        <w:tc>
          <w:tcPr>
            <w:tcW w:w="9188" w:type="dxa"/>
            <w:shd w:val="clear" w:color="auto" w:fill="auto"/>
          </w:tcPr>
          <w:p w14:paraId="6A2A8A5C" w14:textId="77777777" w:rsidR="00E64205" w:rsidRPr="008D5BEA" w:rsidRDefault="00E64205" w:rsidP="00EC5EE8">
            <w:r w:rsidRPr="008D5BEA">
              <w:t xml:space="preserve">Ivóvíz fertőtlenítése (klórgáz, </w:t>
            </w:r>
            <w:proofErr w:type="spellStart"/>
            <w:r w:rsidRPr="008D5BEA">
              <w:t>nátrium-hypoklorit</w:t>
            </w:r>
            <w:proofErr w:type="spellEnd"/>
            <w:r w:rsidRPr="008D5BEA">
              <w:t>, ózon, UV, klór-dioxid és egyéb fe</w:t>
            </w:r>
            <w:r w:rsidRPr="008D5BEA">
              <w:t>r</w:t>
            </w:r>
            <w:r w:rsidRPr="008D5BEA">
              <w:t>tőtlenítési eljárások alkalmazása; az egyes eljárások technológiájának, az alkalmaz</w:t>
            </w:r>
            <w:r w:rsidRPr="008D5BEA">
              <w:t>á</w:t>
            </w:r>
            <w:r w:rsidRPr="008D5BEA">
              <w:t>sok előnyeinek és hátrányainak ismertetése)</w:t>
            </w:r>
          </w:p>
        </w:tc>
      </w:tr>
      <w:tr w:rsidR="00E64205" w14:paraId="6A52852B" w14:textId="77777777" w:rsidTr="00481B4C">
        <w:tc>
          <w:tcPr>
            <w:tcW w:w="451" w:type="dxa"/>
            <w:shd w:val="clear" w:color="auto" w:fill="auto"/>
          </w:tcPr>
          <w:p w14:paraId="228BDE03" w14:textId="77777777" w:rsidR="00E64205" w:rsidRPr="00EF619A" w:rsidRDefault="00E64205" w:rsidP="003E1FBF">
            <w:r w:rsidRPr="00EF619A">
              <w:t>3.</w:t>
            </w:r>
          </w:p>
        </w:tc>
        <w:tc>
          <w:tcPr>
            <w:tcW w:w="9188" w:type="dxa"/>
            <w:shd w:val="clear" w:color="auto" w:fill="auto"/>
          </w:tcPr>
          <w:p w14:paraId="6AD0E0F2" w14:textId="77777777" w:rsidR="00E64205" w:rsidRPr="008D5BEA" w:rsidRDefault="00E64205" w:rsidP="00EC5EE8">
            <w:r w:rsidRPr="008D5BEA">
              <w:t>Vas és mangán eltávolítása ivóvízből: a főbb technológiai lépések, a lehetséges tec</w:t>
            </w:r>
            <w:r w:rsidRPr="008D5BEA">
              <w:t>h</w:t>
            </w:r>
            <w:r w:rsidRPr="008D5BEA">
              <w:t>nológiai megoldások a nyersvíz vas- és mangántartalmának függvényében, mint</w:t>
            </w:r>
            <w:r w:rsidRPr="008D5BEA">
              <w:t>a</w:t>
            </w:r>
            <w:r w:rsidRPr="008D5BEA">
              <w:t>technológiai sorok kialakítása. A koagulációs technológia alkalmazása az ivóvíztiszt</w:t>
            </w:r>
            <w:r w:rsidRPr="008D5BEA">
              <w:t>í</w:t>
            </w:r>
            <w:r w:rsidRPr="008D5BEA">
              <w:t>tásban.</w:t>
            </w:r>
          </w:p>
        </w:tc>
      </w:tr>
      <w:tr w:rsidR="00E64205" w14:paraId="312B5060" w14:textId="77777777" w:rsidTr="00481B4C">
        <w:tc>
          <w:tcPr>
            <w:tcW w:w="451" w:type="dxa"/>
            <w:shd w:val="clear" w:color="auto" w:fill="auto"/>
          </w:tcPr>
          <w:p w14:paraId="7ACBBA21" w14:textId="77777777" w:rsidR="00E64205" w:rsidRPr="00EF619A" w:rsidRDefault="00E64205" w:rsidP="003E1FBF">
            <w:r w:rsidRPr="00EF619A">
              <w:t>4.</w:t>
            </w:r>
          </w:p>
        </w:tc>
        <w:tc>
          <w:tcPr>
            <w:tcW w:w="9188" w:type="dxa"/>
            <w:shd w:val="clear" w:color="auto" w:fill="auto"/>
          </w:tcPr>
          <w:p w14:paraId="74B07953" w14:textId="77777777" w:rsidR="00E64205" w:rsidRPr="008D5BEA" w:rsidRDefault="00E64205" w:rsidP="00EC5EE8">
            <w:r w:rsidRPr="008D5BEA">
              <w:t>Arzén eltávolítása ivóvízből koagulációs, illetve adszorpciós technológia alkalmaz</w:t>
            </w:r>
            <w:r w:rsidRPr="008D5BEA">
              <w:t>á</w:t>
            </w:r>
            <w:r w:rsidRPr="008D5BEA">
              <w:t>sával. Mintatechnológiai sorok kialakítása a nyersvíz vas-, mangán- és arzéntartalm</w:t>
            </w:r>
            <w:r w:rsidRPr="008D5BEA">
              <w:t>á</w:t>
            </w:r>
            <w:r w:rsidRPr="008D5BEA">
              <w:t xml:space="preserve">nak függvényében. </w:t>
            </w:r>
          </w:p>
        </w:tc>
      </w:tr>
      <w:tr w:rsidR="00E64205" w14:paraId="5404FF7E" w14:textId="77777777" w:rsidTr="00481B4C">
        <w:tc>
          <w:tcPr>
            <w:tcW w:w="451" w:type="dxa"/>
            <w:shd w:val="clear" w:color="auto" w:fill="auto"/>
          </w:tcPr>
          <w:p w14:paraId="65B74A04" w14:textId="77777777" w:rsidR="00E64205" w:rsidRPr="00EF619A" w:rsidRDefault="00E64205" w:rsidP="003E1FBF">
            <w:r w:rsidRPr="00EF619A">
              <w:t>5.</w:t>
            </w:r>
          </w:p>
        </w:tc>
        <w:tc>
          <w:tcPr>
            <w:tcW w:w="9188" w:type="dxa"/>
            <w:shd w:val="clear" w:color="auto" w:fill="auto"/>
          </w:tcPr>
          <w:p w14:paraId="439F5ECF" w14:textId="77777777" w:rsidR="00E64205" w:rsidRPr="008D5BEA" w:rsidRDefault="00E64205" w:rsidP="00EC5EE8">
            <w:proofErr w:type="gramStart"/>
            <w:r w:rsidRPr="008D5BEA">
              <w:t>Ammónium ion</w:t>
            </w:r>
            <w:proofErr w:type="gramEnd"/>
            <w:r w:rsidRPr="008D5BEA">
              <w:t xml:space="preserve"> eltávolítása ivóvízből. A törésponti klórozás és a biológiai </w:t>
            </w:r>
            <w:proofErr w:type="gramStart"/>
            <w:r w:rsidRPr="008D5BEA">
              <w:t>ammón</w:t>
            </w:r>
            <w:r w:rsidRPr="008D5BEA">
              <w:t>i</w:t>
            </w:r>
            <w:r w:rsidRPr="008D5BEA">
              <w:t>um ion</w:t>
            </w:r>
            <w:proofErr w:type="gramEnd"/>
            <w:r w:rsidRPr="008D5BEA">
              <w:t xml:space="preserve"> eltávolítás technológiai lépései, a két  technológia előnyei és hátrányai. Kom</w:t>
            </w:r>
            <w:r w:rsidRPr="008D5BEA">
              <w:t>p</w:t>
            </w:r>
            <w:r w:rsidRPr="008D5BEA">
              <w:t>lex technológiai sorok kialakítása. Vízlágyítás kicsapatással és ioncserével.</w:t>
            </w:r>
          </w:p>
        </w:tc>
      </w:tr>
      <w:tr w:rsidR="00E64205" w14:paraId="1164F5CB" w14:textId="77777777" w:rsidTr="00481B4C">
        <w:tc>
          <w:tcPr>
            <w:tcW w:w="451" w:type="dxa"/>
            <w:shd w:val="clear" w:color="auto" w:fill="auto"/>
          </w:tcPr>
          <w:p w14:paraId="5ECA6BE0" w14:textId="77777777" w:rsidR="00E64205" w:rsidRPr="00EF619A" w:rsidRDefault="00E64205" w:rsidP="003E1FBF">
            <w:r w:rsidRPr="00EF619A">
              <w:t>6.</w:t>
            </w:r>
          </w:p>
        </w:tc>
        <w:tc>
          <w:tcPr>
            <w:tcW w:w="9188" w:type="dxa"/>
            <w:shd w:val="clear" w:color="auto" w:fill="auto"/>
          </w:tcPr>
          <w:p w14:paraId="169947D2" w14:textId="77777777" w:rsidR="00E64205" w:rsidRPr="008D5BEA" w:rsidRDefault="00E64205" w:rsidP="00EC5EE8">
            <w:r w:rsidRPr="008D5BEA">
              <w:t>Fázisszétválasztás az ivóvíztisztításban. Gáz-folyadék és szilárd-folyadék fázisszétv</w:t>
            </w:r>
            <w:r w:rsidRPr="008D5BEA">
              <w:t>á</w:t>
            </w:r>
            <w:r w:rsidRPr="008D5BEA">
              <w:t>lasztási technológiák. Levegőztetési és gázmentesítési eljárások. Durva és finom fázi</w:t>
            </w:r>
            <w:r w:rsidRPr="008D5BEA">
              <w:t>s</w:t>
            </w:r>
            <w:r w:rsidRPr="008D5BEA">
              <w:t>szétválasztás. Felszíni vizek tisztítási technológiája.</w:t>
            </w:r>
          </w:p>
        </w:tc>
      </w:tr>
      <w:tr w:rsidR="00E64205" w14:paraId="769B1ACA" w14:textId="77777777" w:rsidTr="00481B4C">
        <w:tc>
          <w:tcPr>
            <w:tcW w:w="451" w:type="dxa"/>
            <w:shd w:val="clear" w:color="auto" w:fill="auto"/>
          </w:tcPr>
          <w:p w14:paraId="6936308E" w14:textId="77777777" w:rsidR="00E64205" w:rsidRPr="00EF619A" w:rsidRDefault="00E64205" w:rsidP="003E1FBF">
            <w:r w:rsidRPr="00EF619A">
              <w:t>7.</w:t>
            </w:r>
          </w:p>
        </w:tc>
        <w:tc>
          <w:tcPr>
            <w:tcW w:w="9188" w:type="dxa"/>
            <w:shd w:val="clear" w:color="auto" w:fill="auto"/>
          </w:tcPr>
          <w:p w14:paraId="5EF1A02F" w14:textId="77777777" w:rsidR="00E64205" w:rsidRPr="008D5BEA" w:rsidRDefault="00E64205" w:rsidP="00EC5EE8">
            <w:r w:rsidRPr="008D5BEA">
              <w:t>Mélységi vizek tisztítására alkalmas technológia tervezése. Lehetséges technológiai sorok kialakítása. Az adagolandó vegyszerek típusának és közelítő dózisának megh</w:t>
            </w:r>
            <w:r w:rsidRPr="008D5BEA">
              <w:t>a</w:t>
            </w:r>
            <w:r w:rsidRPr="008D5BEA">
              <w:t xml:space="preserve">tározása. Homokszűrők méretezése: előzetes méretfelvétel és az öblítési gyakoriság ellenőrzése. A technológiai veszteség mértékének meghatározása. Zagyvíz ülepítők közelítő méretezése. </w:t>
            </w:r>
          </w:p>
        </w:tc>
      </w:tr>
      <w:tr w:rsidR="00E64205" w14:paraId="0AFA5F20" w14:textId="77777777" w:rsidTr="00481B4C">
        <w:tc>
          <w:tcPr>
            <w:tcW w:w="451" w:type="dxa"/>
            <w:shd w:val="clear" w:color="auto" w:fill="auto"/>
          </w:tcPr>
          <w:p w14:paraId="375FB0EB" w14:textId="77777777" w:rsidR="00E64205" w:rsidRPr="00EF619A" w:rsidRDefault="00E64205" w:rsidP="003E1FBF">
            <w:r w:rsidRPr="00EF619A">
              <w:t>8.</w:t>
            </w:r>
          </w:p>
        </w:tc>
        <w:tc>
          <w:tcPr>
            <w:tcW w:w="9188" w:type="dxa"/>
            <w:shd w:val="clear" w:color="auto" w:fill="auto"/>
          </w:tcPr>
          <w:p w14:paraId="6D12F2D2" w14:textId="77777777" w:rsidR="00E64205" w:rsidRPr="008D5BEA" w:rsidRDefault="00E64205" w:rsidP="00EC5EE8">
            <w:r w:rsidRPr="008D5BEA">
              <w:t>Integrált települési vízgazdálkodás: Csatornahálózat - szennyvíztisztítás. Befogadó kapcsolat: Mértékadó vízmennyiségek, ví</w:t>
            </w:r>
            <w:r>
              <w:t>z</w:t>
            </w:r>
            <w:r w:rsidRPr="008D5BEA">
              <w:t>minőségi paraméterek, szennyvíztisztítás feladata.</w:t>
            </w:r>
          </w:p>
        </w:tc>
      </w:tr>
      <w:tr w:rsidR="00E64205" w14:paraId="080052B9" w14:textId="77777777" w:rsidTr="00481B4C">
        <w:tc>
          <w:tcPr>
            <w:tcW w:w="451" w:type="dxa"/>
            <w:shd w:val="clear" w:color="auto" w:fill="auto"/>
          </w:tcPr>
          <w:p w14:paraId="421FF36A" w14:textId="77777777" w:rsidR="00E64205" w:rsidRPr="00EF619A" w:rsidRDefault="00E64205" w:rsidP="003E1FBF">
            <w:r w:rsidRPr="00EF619A">
              <w:t>9.</w:t>
            </w:r>
          </w:p>
        </w:tc>
        <w:tc>
          <w:tcPr>
            <w:tcW w:w="9188" w:type="dxa"/>
            <w:shd w:val="clear" w:color="auto" w:fill="auto"/>
          </w:tcPr>
          <w:p w14:paraId="5ECA0A77" w14:textId="77777777" w:rsidR="00E64205" w:rsidRPr="008D5BEA" w:rsidRDefault="00E64205" w:rsidP="00EC5EE8">
            <w:r w:rsidRPr="008D5BEA">
              <w:t>Mechanikai szennyvíztisztí</w:t>
            </w:r>
            <w:r>
              <w:t>t</w:t>
            </w:r>
            <w:r w:rsidRPr="008D5BEA">
              <w:t>ás 1: Kőfogók, rácsok, homokfogók.</w:t>
            </w:r>
          </w:p>
        </w:tc>
      </w:tr>
      <w:tr w:rsidR="00E64205" w14:paraId="2FE9C56A" w14:textId="77777777" w:rsidTr="00481B4C">
        <w:tc>
          <w:tcPr>
            <w:tcW w:w="451" w:type="dxa"/>
            <w:shd w:val="clear" w:color="auto" w:fill="auto"/>
          </w:tcPr>
          <w:p w14:paraId="0F722E5E" w14:textId="77777777" w:rsidR="00E64205" w:rsidRPr="00EF619A" w:rsidRDefault="00E64205" w:rsidP="003E1FBF">
            <w:r w:rsidRPr="00EF619A">
              <w:t>10.</w:t>
            </w:r>
          </w:p>
        </w:tc>
        <w:tc>
          <w:tcPr>
            <w:tcW w:w="9188" w:type="dxa"/>
            <w:shd w:val="clear" w:color="auto" w:fill="auto"/>
          </w:tcPr>
          <w:p w14:paraId="2A69979A" w14:textId="77777777" w:rsidR="00E64205" w:rsidRPr="008D5BEA" w:rsidRDefault="00E64205" w:rsidP="00EC5EE8">
            <w:r w:rsidRPr="008D5BEA">
              <w:t>Mechanikai szennyvíztisztítás 2: Előülepítés</w:t>
            </w:r>
          </w:p>
        </w:tc>
      </w:tr>
      <w:tr w:rsidR="00E64205" w14:paraId="3FDC1667" w14:textId="77777777" w:rsidTr="00481B4C">
        <w:tc>
          <w:tcPr>
            <w:tcW w:w="451" w:type="dxa"/>
            <w:shd w:val="clear" w:color="auto" w:fill="auto"/>
          </w:tcPr>
          <w:p w14:paraId="36473E83" w14:textId="77777777" w:rsidR="00E64205" w:rsidRPr="00EF619A" w:rsidRDefault="00E64205" w:rsidP="003E1FBF">
            <w:r w:rsidRPr="00EF619A">
              <w:t>11.</w:t>
            </w:r>
          </w:p>
        </w:tc>
        <w:tc>
          <w:tcPr>
            <w:tcW w:w="9188" w:type="dxa"/>
            <w:shd w:val="clear" w:color="auto" w:fill="auto"/>
          </w:tcPr>
          <w:p w14:paraId="6635FA9C" w14:textId="77777777" w:rsidR="00E64205" w:rsidRPr="008D5BEA" w:rsidRDefault="00E64205" w:rsidP="00EC5EE8">
            <w:r w:rsidRPr="008D5BEA">
              <w:t>Biológiai szennyvíztisztítás:1: Biokémiai alapfolyamatok</w:t>
            </w:r>
          </w:p>
        </w:tc>
      </w:tr>
      <w:tr w:rsidR="00E64205" w14:paraId="26922D00" w14:textId="77777777" w:rsidTr="00481B4C">
        <w:tc>
          <w:tcPr>
            <w:tcW w:w="451" w:type="dxa"/>
            <w:shd w:val="clear" w:color="auto" w:fill="auto"/>
          </w:tcPr>
          <w:p w14:paraId="79543E30" w14:textId="77777777" w:rsidR="00E64205" w:rsidRPr="00EF619A" w:rsidRDefault="00E64205" w:rsidP="003E1FBF">
            <w:r w:rsidRPr="00EF619A">
              <w:t>12.</w:t>
            </w:r>
          </w:p>
        </w:tc>
        <w:tc>
          <w:tcPr>
            <w:tcW w:w="9188" w:type="dxa"/>
            <w:shd w:val="clear" w:color="auto" w:fill="auto"/>
          </w:tcPr>
          <w:p w14:paraId="2FE2B04C" w14:textId="77777777" w:rsidR="00E64205" w:rsidRPr="008D5BEA" w:rsidRDefault="00E64205" w:rsidP="00EC5EE8">
            <w:r w:rsidRPr="008D5BEA">
              <w:t xml:space="preserve">Biológiai szennyvíztisztítás 2. :  Biokémiai alapfolyamatok, </w:t>
            </w:r>
            <w:proofErr w:type="spellStart"/>
            <w:r w:rsidRPr="008D5BEA">
              <w:t>reaktorelredezések</w:t>
            </w:r>
            <w:proofErr w:type="spellEnd"/>
            <w:r w:rsidRPr="008D5BEA">
              <w:t xml:space="preserve"> al</w:t>
            </w:r>
            <w:r>
              <w:t>a</w:t>
            </w:r>
            <w:r w:rsidRPr="008D5BEA">
              <w:t>p</w:t>
            </w:r>
            <w:r w:rsidRPr="008D5BEA">
              <w:t>sémái. Számítási gyakorlatok az ATV A 131 alapján.</w:t>
            </w:r>
          </w:p>
        </w:tc>
      </w:tr>
      <w:tr w:rsidR="00E64205" w14:paraId="108915A2" w14:textId="77777777" w:rsidTr="00481B4C">
        <w:tc>
          <w:tcPr>
            <w:tcW w:w="451" w:type="dxa"/>
            <w:shd w:val="clear" w:color="auto" w:fill="auto"/>
          </w:tcPr>
          <w:p w14:paraId="50D52739" w14:textId="77777777" w:rsidR="00E64205" w:rsidRPr="00EF619A" w:rsidRDefault="00E64205" w:rsidP="003E1FBF">
            <w:r w:rsidRPr="00EF619A">
              <w:t>13.</w:t>
            </w:r>
          </w:p>
        </w:tc>
        <w:tc>
          <w:tcPr>
            <w:tcW w:w="9188" w:type="dxa"/>
            <w:shd w:val="clear" w:color="auto" w:fill="auto"/>
          </w:tcPr>
          <w:p w14:paraId="1C4EA7D3" w14:textId="77777777" w:rsidR="00E64205" w:rsidRPr="008D5BEA" w:rsidRDefault="00E64205" w:rsidP="00EC5EE8">
            <w:r w:rsidRPr="008D5BEA">
              <w:t>Biológiai szennyvíztisztítás 3</w:t>
            </w:r>
            <w:proofErr w:type="gramStart"/>
            <w:r w:rsidRPr="008D5BEA">
              <w:t>.:</w:t>
            </w:r>
            <w:proofErr w:type="gramEnd"/>
            <w:r w:rsidRPr="008D5BEA">
              <w:t xml:space="preserve"> utóülepítés</w:t>
            </w:r>
          </w:p>
        </w:tc>
      </w:tr>
      <w:tr w:rsidR="00E64205" w14:paraId="1349678D" w14:textId="77777777" w:rsidTr="00481B4C">
        <w:tc>
          <w:tcPr>
            <w:tcW w:w="451" w:type="dxa"/>
            <w:shd w:val="clear" w:color="auto" w:fill="auto"/>
          </w:tcPr>
          <w:p w14:paraId="760FA25E" w14:textId="77777777" w:rsidR="00E64205" w:rsidRPr="00EF619A" w:rsidRDefault="00E64205" w:rsidP="00695BC4">
            <w:r>
              <w:t>14</w:t>
            </w:r>
            <w:r w:rsidRPr="00EF619A">
              <w:t>.</w:t>
            </w:r>
          </w:p>
        </w:tc>
        <w:tc>
          <w:tcPr>
            <w:tcW w:w="9188" w:type="dxa"/>
            <w:shd w:val="clear" w:color="auto" w:fill="auto"/>
          </w:tcPr>
          <w:p w14:paraId="50D4EB08" w14:textId="77777777" w:rsidR="00E64205" w:rsidRPr="008D5BEA" w:rsidRDefault="00E64205" w:rsidP="00EC5EE8">
            <w:r w:rsidRPr="008D5BEA">
              <w:t>Iszapkezelés</w:t>
            </w:r>
          </w:p>
        </w:tc>
      </w:tr>
    </w:tbl>
    <w:p w14:paraId="0216574E" w14:textId="77777777" w:rsidR="00C338AF" w:rsidRDefault="00C338AF">
      <w:pPr>
        <w:ind w:left="578" w:hanging="578"/>
        <w:rPr>
          <w:i/>
          <w:iCs/>
        </w:rPr>
      </w:pPr>
    </w:p>
    <w:p w14:paraId="2E1FFEF7" w14:textId="77777777" w:rsidR="00C338AF" w:rsidRDefault="00C8189C">
      <w:pPr>
        <w:pStyle w:val="Szvegtrzs"/>
        <w:jc w:val="left"/>
      </w:pPr>
      <w:r>
        <w:rPr>
          <w:color w:val="000000"/>
        </w:rPr>
        <w:t>A félév közbeni munkaszüneti napok miatt a program csak tájékoztató jellegű, a pontos időpo</w:t>
      </w:r>
      <w:r>
        <w:rPr>
          <w:color w:val="000000"/>
        </w:rPr>
        <w:t>n</w:t>
      </w:r>
      <w:r>
        <w:rPr>
          <w:color w:val="000000"/>
        </w:rPr>
        <w:t>tokat a tárgy honlapján elérhető "Részletes féléves ütemterv" tartalmazza.</w:t>
      </w:r>
      <w:r>
        <w:rPr>
          <w:color w:val="FF0000"/>
        </w:rPr>
        <w:t xml:space="preserve"> </w:t>
      </w:r>
    </w:p>
    <w:p w14:paraId="1C8502FB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Tanulástámogató anyagok</w:t>
      </w:r>
    </w:p>
    <w:p w14:paraId="35D018F9" w14:textId="77777777" w:rsidR="00C338AF" w:rsidRDefault="00C338AF">
      <w:pPr>
        <w:ind w:left="578" w:hanging="578"/>
      </w:pPr>
    </w:p>
    <w:p w14:paraId="0B5ACE5E" w14:textId="77777777" w:rsidR="00C338AF" w:rsidRPr="00BB1D49" w:rsidRDefault="00C8189C">
      <w:pPr>
        <w:pStyle w:val="alcim"/>
        <w:numPr>
          <w:ilvl w:val="0"/>
          <w:numId w:val="3"/>
        </w:numPr>
        <w:spacing w:before="0" w:after="0"/>
        <w:rPr>
          <w:b w:val="0"/>
          <w:szCs w:val="24"/>
        </w:rPr>
      </w:pPr>
      <w:r w:rsidRPr="00C77BF4">
        <w:rPr>
          <w:rFonts w:ascii="Palatino Linotype" w:hAnsi="Palatino Linotype"/>
          <w:b w:val="0"/>
          <w:szCs w:val="24"/>
        </w:rPr>
        <w:lastRenderedPageBreak/>
        <w:t xml:space="preserve">Tankönyvek </w:t>
      </w:r>
    </w:p>
    <w:p w14:paraId="35ABB1AF" w14:textId="77777777" w:rsidR="00BB1D49" w:rsidRPr="00BB1D49" w:rsidRDefault="00BB1D49" w:rsidP="00BB1D49">
      <w:pPr>
        <w:pStyle w:val="alcim"/>
        <w:numPr>
          <w:ilvl w:val="1"/>
          <w:numId w:val="3"/>
        </w:numPr>
        <w:spacing w:after="0"/>
        <w:rPr>
          <w:rFonts w:ascii="Palatino Linotype" w:hAnsi="Palatino Linotype"/>
          <w:b w:val="0"/>
          <w:szCs w:val="24"/>
        </w:rPr>
      </w:pPr>
      <w:proofErr w:type="spellStart"/>
      <w:r w:rsidRPr="00BB1D49">
        <w:rPr>
          <w:rFonts w:ascii="Palatino Linotype" w:hAnsi="Palatino Linotype"/>
          <w:b w:val="0"/>
          <w:szCs w:val="24"/>
        </w:rPr>
        <w:t>Öllős</w:t>
      </w:r>
      <w:proofErr w:type="spellEnd"/>
      <w:r w:rsidRPr="00BB1D49">
        <w:rPr>
          <w:rFonts w:ascii="Palatino Linotype" w:hAnsi="Palatino Linotype"/>
          <w:b w:val="0"/>
          <w:szCs w:val="24"/>
        </w:rPr>
        <w:t xml:space="preserve"> Géza (1987) - Vízellátás (K+F eredmények); </w:t>
      </w:r>
    </w:p>
    <w:p w14:paraId="16CC4FA2" w14:textId="77777777" w:rsidR="00BB1D49" w:rsidRPr="00BB1D49" w:rsidRDefault="00BB1D49" w:rsidP="00BB1D49">
      <w:pPr>
        <w:pStyle w:val="alcim"/>
        <w:numPr>
          <w:ilvl w:val="1"/>
          <w:numId w:val="3"/>
        </w:numPr>
        <w:spacing w:after="0"/>
        <w:rPr>
          <w:rFonts w:ascii="Palatino Linotype" w:hAnsi="Palatino Linotype"/>
          <w:b w:val="0"/>
          <w:szCs w:val="24"/>
        </w:rPr>
      </w:pPr>
      <w:proofErr w:type="spellStart"/>
      <w:r w:rsidRPr="00BB1D49">
        <w:rPr>
          <w:rFonts w:ascii="Palatino Linotype" w:hAnsi="Palatino Linotype"/>
          <w:b w:val="0"/>
          <w:szCs w:val="24"/>
        </w:rPr>
        <w:t>Öllős</w:t>
      </w:r>
      <w:proofErr w:type="spellEnd"/>
      <w:r w:rsidRPr="00BB1D49">
        <w:rPr>
          <w:rFonts w:ascii="Palatino Linotype" w:hAnsi="Palatino Linotype"/>
          <w:b w:val="0"/>
          <w:szCs w:val="24"/>
        </w:rPr>
        <w:t xml:space="preserve"> Géza (1998) - Víztisztítás, üzemeltetés; </w:t>
      </w:r>
    </w:p>
    <w:p w14:paraId="3717B126" w14:textId="77777777" w:rsidR="00BB1D49" w:rsidRPr="00BB1D49" w:rsidRDefault="00BB1D49" w:rsidP="00BB1D49">
      <w:pPr>
        <w:pStyle w:val="alcim"/>
        <w:numPr>
          <w:ilvl w:val="1"/>
          <w:numId w:val="3"/>
        </w:numPr>
        <w:spacing w:after="0"/>
        <w:rPr>
          <w:rFonts w:ascii="Palatino Linotype" w:hAnsi="Palatino Linotype"/>
          <w:b w:val="0"/>
          <w:szCs w:val="24"/>
        </w:rPr>
      </w:pPr>
      <w:proofErr w:type="spellStart"/>
      <w:r w:rsidRPr="00BB1D49">
        <w:rPr>
          <w:rFonts w:ascii="Palatino Linotype" w:hAnsi="Palatino Linotype"/>
          <w:b w:val="0"/>
          <w:szCs w:val="24"/>
        </w:rPr>
        <w:t>Öllős</w:t>
      </w:r>
      <w:proofErr w:type="spellEnd"/>
      <w:r w:rsidRPr="00BB1D49">
        <w:rPr>
          <w:rFonts w:ascii="Palatino Linotype" w:hAnsi="Palatino Linotype"/>
          <w:b w:val="0"/>
          <w:szCs w:val="24"/>
        </w:rPr>
        <w:t xml:space="preserve"> Géza (1990) - Csatornázás - szennyvíztisztítás I., II.; </w:t>
      </w:r>
    </w:p>
    <w:p w14:paraId="22F3DA98" w14:textId="77777777" w:rsidR="00BB1D49" w:rsidRPr="00BB1D49" w:rsidRDefault="00BB1D49" w:rsidP="00BB1D49">
      <w:pPr>
        <w:pStyle w:val="alcim"/>
        <w:numPr>
          <w:ilvl w:val="1"/>
          <w:numId w:val="3"/>
        </w:numPr>
        <w:spacing w:before="0" w:after="0"/>
        <w:rPr>
          <w:rFonts w:ascii="Palatino Linotype" w:hAnsi="Palatino Linotype"/>
          <w:b w:val="0"/>
          <w:szCs w:val="24"/>
        </w:rPr>
      </w:pPr>
      <w:proofErr w:type="spellStart"/>
      <w:r w:rsidRPr="00BB1D49">
        <w:rPr>
          <w:rFonts w:ascii="Palatino Linotype" w:hAnsi="Palatino Linotype"/>
          <w:b w:val="0"/>
          <w:szCs w:val="24"/>
        </w:rPr>
        <w:t>Máttyus</w:t>
      </w:r>
      <w:proofErr w:type="spellEnd"/>
      <w:r w:rsidRPr="00BB1D49">
        <w:rPr>
          <w:rFonts w:ascii="Palatino Linotype" w:hAnsi="Palatino Linotype"/>
          <w:b w:val="0"/>
          <w:szCs w:val="24"/>
        </w:rPr>
        <w:t xml:space="preserve"> S</w:t>
      </w:r>
      <w:proofErr w:type="gramStart"/>
      <w:r w:rsidRPr="00BB1D49">
        <w:rPr>
          <w:rFonts w:ascii="Palatino Linotype" w:hAnsi="Palatino Linotype"/>
          <w:b w:val="0"/>
          <w:szCs w:val="24"/>
        </w:rPr>
        <w:t>.,</w:t>
      </w:r>
      <w:proofErr w:type="gramEnd"/>
      <w:r w:rsidRPr="00BB1D49">
        <w:rPr>
          <w:rFonts w:ascii="Palatino Linotype" w:hAnsi="Palatino Linotype"/>
          <w:b w:val="0"/>
          <w:szCs w:val="24"/>
        </w:rPr>
        <w:t xml:space="preserve"> Tolnai B. (2008) - Vízellátás</w:t>
      </w:r>
    </w:p>
    <w:p w14:paraId="0015C041" w14:textId="77777777" w:rsidR="00C77BF4" w:rsidRPr="00BB1D49" w:rsidRDefault="00C77BF4" w:rsidP="00C77BF4">
      <w:pPr>
        <w:pStyle w:val="Listaszerbekezds"/>
        <w:numPr>
          <w:ilvl w:val="1"/>
          <w:numId w:val="3"/>
        </w:numPr>
        <w:spacing w:after="0"/>
        <w:jc w:val="left"/>
        <w:rPr>
          <w:szCs w:val="24"/>
        </w:rPr>
      </w:pPr>
      <w:proofErr w:type="spellStart"/>
      <w:r w:rsidRPr="00BB1D49">
        <w:rPr>
          <w:szCs w:val="24"/>
        </w:rPr>
        <w:t>Öllős</w:t>
      </w:r>
      <w:proofErr w:type="spellEnd"/>
      <w:r w:rsidRPr="00BB1D49">
        <w:rPr>
          <w:szCs w:val="24"/>
        </w:rPr>
        <w:t xml:space="preserve"> Géza: Csatornázás – Szennyvíztisztítás I., II.; </w:t>
      </w:r>
    </w:p>
    <w:p w14:paraId="5D7D3895" w14:textId="77777777" w:rsidR="00C338AF" w:rsidRPr="00BB1D49" w:rsidRDefault="00C77BF4" w:rsidP="00C77BF4">
      <w:pPr>
        <w:pStyle w:val="Listaszerbekezds"/>
        <w:numPr>
          <w:ilvl w:val="1"/>
          <w:numId w:val="3"/>
        </w:numPr>
        <w:spacing w:after="0"/>
        <w:jc w:val="left"/>
        <w:rPr>
          <w:szCs w:val="24"/>
        </w:rPr>
      </w:pPr>
      <w:proofErr w:type="spellStart"/>
      <w:r w:rsidRPr="00BB1D49">
        <w:rPr>
          <w:szCs w:val="24"/>
        </w:rPr>
        <w:t>Henze</w:t>
      </w:r>
      <w:proofErr w:type="spellEnd"/>
      <w:r w:rsidRPr="00BB1D49">
        <w:rPr>
          <w:szCs w:val="24"/>
        </w:rPr>
        <w:t xml:space="preserve"> M., </w:t>
      </w:r>
      <w:proofErr w:type="spellStart"/>
      <w:r w:rsidRPr="00BB1D49">
        <w:rPr>
          <w:szCs w:val="24"/>
        </w:rPr>
        <w:t>Harremoes</w:t>
      </w:r>
      <w:proofErr w:type="spellEnd"/>
      <w:r w:rsidRPr="00BB1D49">
        <w:rPr>
          <w:szCs w:val="24"/>
        </w:rPr>
        <w:t xml:space="preserve"> P., </w:t>
      </w:r>
      <w:proofErr w:type="spellStart"/>
      <w:r w:rsidRPr="00BB1D49">
        <w:rPr>
          <w:szCs w:val="24"/>
        </w:rPr>
        <w:t>Cour</w:t>
      </w:r>
      <w:proofErr w:type="spellEnd"/>
      <w:r w:rsidRPr="00BB1D49">
        <w:rPr>
          <w:szCs w:val="24"/>
        </w:rPr>
        <w:t xml:space="preserve"> </w:t>
      </w:r>
      <w:proofErr w:type="spellStart"/>
      <w:r w:rsidRPr="00BB1D49">
        <w:rPr>
          <w:szCs w:val="24"/>
        </w:rPr>
        <w:t>Jansen</w:t>
      </w:r>
      <w:proofErr w:type="spellEnd"/>
      <w:r w:rsidRPr="00BB1D49">
        <w:rPr>
          <w:szCs w:val="24"/>
        </w:rPr>
        <w:t xml:space="preserve"> J. la, </w:t>
      </w:r>
      <w:proofErr w:type="spellStart"/>
      <w:r w:rsidRPr="00BB1D49">
        <w:rPr>
          <w:szCs w:val="24"/>
        </w:rPr>
        <w:t>Arvin</w:t>
      </w:r>
      <w:proofErr w:type="spellEnd"/>
      <w:r w:rsidRPr="00BB1D49">
        <w:rPr>
          <w:szCs w:val="24"/>
        </w:rPr>
        <w:t xml:space="preserve"> E. (2002) </w:t>
      </w:r>
      <w:proofErr w:type="spellStart"/>
      <w:r w:rsidRPr="00BB1D49">
        <w:rPr>
          <w:szCs w:val="24"/>
        </w:rPr>
        <w:t>Wastewater</w:t>
      </w:r>
      <w:proofErr w:type="spellEnd"/>
      <w:r w:rsidRPr="00BB1D49">
        <w:rPr>
          <w:szCs w:val="24"/>
        </w:rPr>
        <w:t xml:space="preserve"> </w:t>
      </w:r>
      <w:proofErr w:type="spellStart"/>
      <w:r w:rsidRPr="00BB1D49">
        <w:rPr>
          <w:szCs w:val="24"/>
        </w:rPr>
        <w:t>Treatment</w:t>
      </w:r>
      <w:proofErr w:type="spellEnd"/>
      <w:r w:rsidRPr="00BB1D49">
        <w:rPr>
          <w:szCs w:val="24"/>
        </w:rPr>
        <w:t xml:space="preserve"> – </w:t>
      </w:r>
      <w:proofErr w:type="spellStart"/>
      <w:r w:rsidRPr="00BB1D49">
        <w:rPr>
          <w:szCs w:val="24"/>
        </w:rPr>
        <w:t>Biological</w:t>
      </w:r>
      <w:proofErr w:type="spellEnd"/>
      <w:r w:rsidRPr="00BB1D49">
        <w:rPr>
          <w:szCs w:val="24"/>
        </w:rPr>
        <w:t xml:space="preserve"> and </w:t>
      </w:r>
      <w:proofErr w:type="spellStart"/>
      <w:r w:rsidRPr="00BB1D49">
        <w:rPr>
          <w:szCs w:val="24"/>
        </w:rPr>
        <w:t>Chemical</w:t>
      </w:r>
      <w:proofErr w:type="spellEnd"/>
      <w:r w:rsidRPr="00BB1D49">
        <w:rPr>
          <w:szCs w:val="24"/>
        </w:rPr>
        <w:t xml:space="preserve"> </w:t>
      </w:r>
      <w:proofErr w:type="spellStart"/>
      <w:r w:rsidRPr="00BB1D49">
        <w:rPr>
          <w:szCs w:val="24"/>
        </w:rPr>
        <w:t>Processes</w:t>
      </w:r>
      <w:proofErr w:type="spellEnd"/>
      <w:r w:rsidRPr="00BB1D49">
        <w:rPr>
          <w:szCs w:val="24"/>
        </w:rPr>
        <w:t xml:space="preserve"> (Springer)</w:t>
      </w:r>
    </w:p>
    <w:p w14:paraId="4DC8A5CA" w14:textId="77777777" w:rsidR="00C338AF" w:rsidRPr="00C77BF4" w:rsidRDefault="00C8189C">
      <w:pPr>
        <w:pStyle w:val="Listaszerbekezds"/>
        <w:numPr>
          <w:ilvl w:val="0"/>
          <w:numId w:val="3"/>
        </w:numPr>
        <w:spacing w:after="0"/>
        <w:jc w:val="left"/>
        <w:rPr>
          <w:bCs/>
          <w:szCs w:val="24"/>
        </w:rPr>
      </w:pPr>
      <w:r w:rsidRPr="00C77BF4">
        <w:rPr>
          <w:szCs w:val="24"/>
        </w:rPr>
        <w:t xml:space="preserve">Letölthető anyagok </w:t>
      </w:r>
    </w:p>
    <w:p w14:paraId="258D0C7A" w14:textId="77777777" w:rsidR="00C338AF" w:rsidRPr="00C77BF4" w:rsidRDefault="00C77BF4">
      <w:pPr>
        <w:pStyle w:val="Listaszerbekezds"/>
        <w:numPr>
          <w:ilvl w:val="1"/>
          <w:numId w:val="3"/>
        </w:numPr>
        <w:spacing w:after="0"/>
        <w:jc w:val="left"/>
        <w:rPr>
          <w:bCs/>
          <w:szCs w:val="24"/>
        </w:rPr>
      </w:pPr>
      <w:proofErr w:type="spellStart"/>
      <w:r w:rsidRPr="00C77BF4">
        <w:rPr>
          <w:szCs w:val="24"/>
        </w:rPr>
        <w:t>Laky</w:t>
      </w:r>
      <w:proofErr w:type="spellEnd"/>
      <w:r w:rsidRPr="00C77BF4">
        <w:rPr>
          <w:szCs w:val="24"/>
        </w:rPr>
        <w:t xml:space="preserve"> Dóra – </w:t>
      </w:r>
      <w:proofErr w:type="spellStart"/>
      <w:r w:rsidRPr="00C77BF4">
        <w:rPr>
          <w:szCs w:val="24"/>
        </w:rPr>
        <w:t>Licskó</w:t>
      </w:r>
      <w:proofErr w:type="spellEnd"/>
      <w:r w:rsidRPr="00C77BF4">
        <w:rPr>
          <w:szCs w:val="24"/>
        </w:rPr>
        <w:t xml:space="preserve"> István: Víztisztítás (elektronikus jegyzet; BME – Vízi Közmű és Környezetmérnöki Tanszék)</w:t>
      </w:r>
    </w:p>
    <w:p w14:paraId="2F2472D9" w14:textId="77777777" w:rsidR="00C338AF" w:rsidRPr="00C77BF4" w:rsidRDefault="00C77BF4" w:rsidP="00C77BF4">
      <w:pPr>
        <w:pStyle w:val="Listaszerbekezds"/>
        <w:numPr>
          <w:ilvl w:val="1"/>
          <w:numId w:val="3"/>
        </w:numPr>
        <w:spacing w:after="0"/>
        <w:jc w:val="left"/>
        <w:rPr>
          <w:bCs/>
          <w:szCs w:val="24"/>
        </w:rPr>
      </w:pPr>
      <w:r w:rsidRPr="00C77BF4">
        <w:rPr>
          <w:bCs/>
          <w:szCs w:val="24"/>
        </w:rPr>
        <w:t>Előadások diái</w:t>
      </w:r>
    </w:p>
    <w:p w14:paraId="2456B019" w14:textId="77777777" w:rsidR="00C338AF" w:rsidRDefault="00C338AF"/>
    <w:p w14:paraId="2CAE6A94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Egyéb tudnivalók </w:t>
      </w:r>
    </w:p>
    <w:p w14:paraId="14A2C475" w14:textId="0B2246D7" w:rsidR="00C338AF" w:rsidRPr="00481B4C" w:rsidRDefault="009E5BDE">
      <w:r w:rsidRPr="009E5BDE">
        <w:t>1)</w:t>
      </w:r>
      <w:r w:rsidRPr="009E5BDE">
        <w:tab/>
        <w:t xml:space="preserve">Az előadásokon való részvétel kötelező. Az a hallgató, aki az előadások </w:t>
      </w:r>
      <w:proofErr w:type="gramStart"/>
      <w:r w:rsidRPr="009E5BDE">
        <w:t>több, mint</w:t>
      </w:r>
      <w:proofErr w:type="gramEnd"/>
      <w:r w:rsidRPr="009E5BDE">
        <w:t xml:space="preserve"> 30%-áról hiányzik, nem szerezheti meg a tantárgy kreditjét.</w:t>
      </w:r>
    </w:p>
    <w:p w14:paraId="43576617" w14:textId="77777777" w:rsidR="00C338AF" w:rsidRPr="00481B4C" w:rsidRDefault="00C8189C">
      <w:pPr>
        <w:pStyle w:val="Cmsor2"/>
        <w:numPr>
          <w:ilvl w:val="1"/>
          <w:numId w:val="2"/>
        </w:numPr>
        <w:ind w:left="578" w:hanging="578"/>
      </w:pPr>
      <w:r w:rsidRPr="00481B4C">
        <w:t xml:space="preserve">Konzultációs lehetőségek </w:t>
      </w:r>
    </w:p>
    <w:p w14:paraId="0AF452EE" w14:textId="77777777" w:rsidR="00C338AF" w:rsidRPr="00481B4C" w:rsidRDefault="00C8189C">
      <w:r w:rsidRPr="00481B4C">
        <w:t xml:space="preserve">Konzultációs időpontok: </w:t>
      </w:r>
    </w:p>
    <w:p w14:paraId="5A1E2E61" w14:textId="77777777" w:rsidR="00C338AF" w:rsidRDefault="00C77BF4" w:rsidP="00C77BF4">
      <w:r w:rsidRPr="00481B4C">
        <w:t xml:space="preserve">Az oktatók félév </w:t>
      </w:r>
      <w:proofErr w:type="gramStart"/>
      <w:r w:rsidRPr="00481B4C">
        <w:t>elején</w:t>
      </w:r>
      <w:proofErr w:type="gramEnd"/>
      <w:r w:rsidRPr="00481B4C">
        <w:t xml:space="preserve"> a tanszéki honlapon meghirdetett konzultációs idejében, az oktatók sz</w:t>
      </w:r>
      <w:r w:rsidRPr="00481B4C">
        <w:t>o</w:t>
      </w:r>
      <w:r w:rsidRPr="00481B4C">
        <w:t>bájában vagy az oktatóval előzetesen egyeztetett időpontban (</w:t>
      </w:r>
      <w:hyperlink r:id="rId7" w:history="1">
        <w:r w:rsidRPr="00481B4C">
          <w:rPr>
            <w:rStyle w:val="Hiperhivatkozs"/>
          </w:rPr>
          <w:t>laky.dora@epito.bme.hu</w:t>
        </w:r>
      </w:hyperlink>
      <w:r w:rsidRPr="00481B4C">
        <w:t xml:space="preserve">; </w:t>
      </w:r>
      <w:hyperlink r:id="rId8" w:history="1">
        <w:r w:rsidRPr="00481B4C">
          <w:rPr>
            <w:rStyle w:val="Hiperhivatkozs"/>
          </w:rPr>
          <w:t>patziger.miklos@epito.bme.hu</w:t>
        </w:r>
      </w:hyperlink>
      <w:r w:rsidRPr="00481B4C">
        <w:t>)</w:t>
      </w:r>
    </w:p>
    <w:p w14:paraId="52E628BD" w14:textId="77777777" w:rsidR="00C77BF4" w:rsidRDefault="00C77BF4">
      <w:pPr>
        <w:ind w:firstLine="708"/>
      </w:pPr>
    </w:p>
    <w:p w14:paraId="62B5AAE8" w14:textId="77777777" w:rsidR="00C338AF" w:rsidRDefault="00C8189C">
      <w:pPr>
        <w:spacing w:after="160" w:line="259" w:lineRule="auto"/>
        <w:jc w:val="left"/>
      </w:pPr>
      <w:r>
        <w:br w:type="page"/>
      </w:r>
    </w:p>
    <w:p w14:paraId="6E6A74B9" w14:textId="77777777" w:rsidR="00C338AF" w:rsidRDefault="00C8189C">
      <w:pPr>
        <w:pStyle w:val="Cm"/>
        <w:numPr>
          <w:ilvl w:val="0"/>
          <w:numId w:val="10"/>
        </w:numPr>
        <w:ind w:left="709" w:hanging="709"/>
        <w:jc w:val="center"/>
      </w:pPr>
      <w:r>
        <w:lastRenderedPageBreak/>
        <w:t xml:space="preserve">TantárgyKövetelmények </w:t>
      </w:r>
    </w:p>
    <w:p w14:paraId="050CD35F" w14:textId="77777777" w:rsidR="00C338AF" w:rsidRDefault="00C8189C">
      <w:pPr>
        <w:pStyle w:val="Cmsor1"/>
        <w:numPr>
          <w:ilvl w:val="0"/>
          <w:numId w:val="2"/>
        </w:numPr>
        <w:shd w:val="clear" w:color="auto" w:fill="D9D9D9"/>
      </w:pPr>
      <w:r>
        <w:t>A Tanulmányi teljesítmény ellenőrzése ÉS értkelése</w:t>
      </w:r>
    </w:p>
    <w:p w14:paraId="5815A838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Általános szabályok </w:t>
      </w:r>
    </w:p>
    <w:p w14:paraId="51E35BD6" w14:textId="70978E8B" w:rsidR="00C338AF" w:rsidRPr="00481B4C" w:rsidRDefault="00C77BF4">
      <w:r w:rsidRPr="00481B4C">
        <w:t xml:space="preserve">A 2.2. pontban megfogalmazott tanulási eredmények értékelése </w:t>
      </w:r>
      <w:r w:rsidR="00055FCA">
        <w:t>két</w:t>
      </w:r>
      <w:r w:rsidR="00055FCA" w:rsidRPr="00481B4C">
        <w:t xml:space="preserve"> </w:t>
      </w:r>
      <w:r w:rsidRPr="00481B4C">
        <w:t>zárth</w:t>
      </w:r>
      <w:r w:rsidR="0091500B" w:rsidRPr="00481B4C">
        <w:t>e</w:t>
      </w:r>
      <w:r w:rsidRPr="00481B4C">
        <w:t xml:space="preserve">lyi dolgozat és a </w:t>
      </w:r>
      <w:r w:rsidR="00AC550D">
        <w:t>viz</w:t>
      </w:r>
      <w:r w:rsidR="00AC550D">
        <w:t>s</w:t>
      </w:r>
      <w:r w:rsidR="00AC550D">
        <w:t>ga alapján történik. A vizsga első felében a kérdéseket írásban kidolgozzák a Hallgatók (felk</w:t>
      </w:r>
      <w:r w:rsidR="00AC550D">
        <w:t>é</w:t>
      </w:r>
      <w:r w:rsidR="00AC550D">
        <w:t>szülés a szóbeli vizsgára), majd szóban vizsgáznak az oktatóknál. A vizsgán két kérdést kapnak a Hallgatók: egyet az ivóvíztisztítás, egyet a szennyvíztisztítás témaköréből. A vizsga akkor é</w:t>
      </w:r>
      <w:r w:rsidR="00AC550D">
        <w:t>r</w:t>
      </w:r>
      <w:r w:rsidR="00AC550D">
        <w:t>tékelhető, ha mindkét kérdésből a felelet eléri a legalább elégséges szintet.</w:t>
      </w:r>
    </w:p>
    <w:p w14:paraId="1A470560" w14:textId="77777777" w:rsidR="00C338AF" w:rsidRPr="00481B4C" w:rsidRDefault="00C8189C">
      <w:pPr>
        <w:pStyle w:val="Cmsor2"/>
        <w:numPr>
          <w:ilvl w:val="1"/>
          <w:numId w:val="2"/>
        </w:numPr>
        <w:ind w:left="578" w:hanging="578"/>
      </w:pPr>
      <w:r w:rsidRPr="00481B4C">
        <w:t>Teljesítményértékelési módszerek</w:t>
      </w:r>
    </w:p>
    <w:p w14:paraId="31A5E52E" w14:textId="77777777" w:rsidR="00C338AF" w:rsidRPr="00481B4C" w:rsidRDefault="00C338AF">
      <w:pPr>
        <w:pStyle w:val="Listaszerbekezds"/>
      </w:pPr>
    </w:p>
    <w:tbl>
      <w:tblPr>
        <w:tblStyle w:val="Rcsostblzat"/>
        <w:tblW w:w="10629" w:type="dxa"/>
        <w:jc w:val="center"/>
        <w:tblLayout w:type="fixed"/>
        <w:tblLook w:val="04A0" w:firstRow="1" w:lastRow="0" w:firstColumn="1" w:lastColumn="0" w:noHBand="0" w:noVBand="1"/>
      </w:tblPr>
      <w:tblGrid>
        <w:gridCol w:w="5741"/>
        <w:gridCol w:w="1417"/>
        <w:gridCol w:w="3471"/>
      </w:tblGrid>
      <w:tr w:rsidR="00DB3D15" w:rsidRPr="00481B4C" w14:paraId="30E2FF7A" w14:textId="77777777" w:rsidTr="00DB3D15">
        <w:trPr>
          <w:jc w:val="center"/>
        </w:trPr>
        <w:tc>
          <w:tcPr>
            <w:tcW w:w="5741" w:type="dxa"/>
            <w:vAlign w:val="center"/>
          </w:tcPr>
          <w:p w14:paraId="4455DD1E" w14:textId="77777777" w:rsidR="00DB3D15" w:rsidRPr="00481B4C" w:rsidRDefault="00DB3D15" w:rsidP="00695BC4">
            <w:pPr>
              <w:jc w:val="left"/>
              <w:rPr>
                <w:b/>
                <w:sz w:val="20"/>
                <w:szCs w:val="20"/>
              </w:rPr>
            </w:pPr>
            <w:r w:rsidRPr="00481B4C">
              <w:rPr>
                <w:b/>
                <w:sz w:val="20"/>
                <w:szCs w:val="20"/>
              </w:rPr>
              <w:t xml:space="preserve">típus </w:t>
            </w:r>
          </w:p>
        </w:tc>
        <w:tc>
          <w:tcPr>
            <w:tcW w:w="1417" w:type="dxa"/>
          </w:tcPr>
          <w:p w14:paraId="2D10A5B6" w14:textId="77777777" w:rsidR="00DB3D15" w:rsidRPr="00481B4C" w:rsidRDefault="00DB3D15" w:rsidP="00695BC4">
            <w:pPr>
              <w:rPr>
                <w:b/>
                <w:sz w:val="20"/>
                <w:szCs w:val="20"/>
              </w:rPr>
            </w:pPr>
            <w:r w:rsidRPr="00481B4C">
              <w:rPr>
                <w:b/>
                <w:sz w:val="20"/>
                <w:szCs w:val="20"/>
              </w:rPr>
              <w:t>jele</w:t>
            </w:r>
          </w:p>
        </w:tc>
        <w:tc>
          <w:tcPr>
            <w:tcW w:w="3471" w:type="dxa"/>
            <w:vAlign w:val="center"/>
          </w:tcPr>
          <w:p w14:paraId="72B1FA7A" w14:textId="77777777" w:rsidR="00DB3D15" w:rsidRPr="00481B4C" w:rsidRDefault="00DB3D15" w:rsidP="00695BC4">
            <w:pPr>
              <w:rPr>
                <w:b/>
                <w:sz w:val="20"/>
                <w:szCs w:val="20"/>
              </w:rPr>
            </w:pPr>
            <w:r w:rsidRPr="00481B4C">
              <w:rPr>
                <w:b/>
                <w:sz w:val="20"/>
                <w:szCs w:val="20"/>
              </w:rPr>
              <w:t>értékelt tanulási eredmények</w:t>
            </w:r>
          </w:p>
        </w:tc>
      </w:tr>
      <w:tr w:rsidR="00DB3D15" w:rsidRPr="00481B4C" w14:paraId="3AF1CC4C" w14:textId="77777777" w:rsidTr="00DB3D15">
        <w:trPr>
          <w:jc w:val="center"/>
        </w:trPr>
        <w:tc>
          <w:tcPr>
            <w:tcW w:w="5741" w:type="dxa"/>
          </w:tcPr>
          <w:p w14:paraId="0F6FA731" w14:textId="77777777" w:rsidR="00DB3D15" w:rsidRPr="00481B4C" w:rsidRDefault="00E64205" w:rsidP="00695BC4">
            <w:pPr>
              <w:rPr>
                <w:sz w:val="20"/>
              </w:rPr>
            </w:pPr>
            <w:r w:rsidRPr="00481B4C">
              <w:rPr>
                <w:sz w:val="20"/>
              </w:rPr>
              <w:t>1. zárthelyi dolgozat (összegző értékelés)</w:t>
            </w:r>
          </w:p>
        </w:tc>
        <w:tc>
          <w:tcPr>
            <w:tcW w:w="1417" w:type="dxa"/>
          </w:tcPr>
          <w:p w14:paraId="496DBB4C" w14:textId="77777777" w:rsidR="00DB3D15" w:rsidRPr="00481B4C" w:rsidRDefault="00E64205" w:rsidP="00695BC4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ZH</w:t>
            </w:r>
            <w:r w:rsidR="00DB3D15" w:rsidRPr="00481B4C">
              <w:rPr>
                <w:sz w:val="20"/>
                <w:szCs w:val="20"/>
              </w:rPr>
              <w:t>1</w:t>
            </w:r>
          </w:p>
        </w:tc>
        <w:tc>
          <w:tcPr>
            <w:tcW w:w="3471" w:type="dxa"/>
          </w:tcPr>
          <w:p w14:paraId="11B72ACE" w14:textId="52710E6D" w:rsidR="00DB3D15" w:rsidRPr="00481B4C" w:rsidRDefault="00481B4C" w:rsidP="00695BC4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A.1</w:t>
            </w:r>
            <w:r>
              <w:rPr>
                <w:sz w:val="20"/>
                <w:szCs w:val="20"/>
              </w:rPr>
              <w:t xml:space="preserve"> </w:t>
            </w:r>
            <w:r w:rsidRPr="00481B4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.4;</w:t>
            </w:r>
            <w:r w:rsidRPr="00481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B.2;</w:t>
            </w:r>
            <w:r w:rsidR="00AC550D">
              <w:rPr>
                <w:sz w:val="20"/>
                <w:szCs w:val="20"/>
              </w:rPr>
              <w:t xml:space="preserve"> </w:t>
            </w:r>
            <w:r w:rsidRPr="00481B4C">
              <w:rPr>
                <w:sz w:val="20"/>
                <w:szCs w:val="20"/>
              </w:rPr>
              <w:t>C</w:t>
            </w:r>
            <w:r w:rsidR="00AC550D">
              <w:rPr>
                <w:sz w:val="20"/>
                <w:szCs w:val="20"/>
              </w:rPr>
              <w:t>.2</w:t>
            </w:r>
            <w:r w:rsidRPr="00481B4C">
              <w:rPr>
                <w:sz w:val="20"/>
                <w:szCs w:val="20"/>
              </w:rPr>
              <w:t>, D.1</w:t>
            </w:r>
          </w:p>
        </w:tc>
      </w:tr>
      <w:tr w:rsidR="00DB3D15" w:rsidRPr="00481B4C" w14:paraId="78F4CF86" w14:textId="77777777" w:rsidTr="00DB3D15">
        <w:trPr>
          <w:jc w:val="center"/>
        </w:trPr>
        <w:tc>
          <w:tcPr>
            <w:tcW w:w="5741" w:type="dxa"/>
          </w:tcPr>
          <w:p w14:paraId="69374092" w14:textId="77777777" w:rsidR="00DB3D15" w:rsidRPr="00481B4C" w:rsidRDefault="00E64205" w:rsidP="00695BC4">
            <w:pPr>
              <w:rPr>
                <w:sz w:val="20"/>
              </w:rPr>
            </w:pPr>
            <w:r w:rsidRPr="00481B4C">
              <w:rPr>
                <w:sz w:val="20"/>
              </w:rPr>
              <w:t>2</w:t>
            </w:r>
            <w:r w:rsidR="00DB3D15" w:rsidRPr="00481B4C">
              <w:rPr>
                <w:sz w:val="20"/>
              </w:rPr>
              <w:t>. zárthelyi dolgozat (összegző értékelés)</w:t>
            </w:r>
          </w:p>
        </w:tc>
        <w:tc>
          <w:tcPr>
            <w:tcW w:w="1417" w:type="dxa"/>
          </w:tcPr>
          <w:p w14:paraId="07B50D64" w14:textId="77777777" w:rsidR="00DB3D15" w:rsidRPr="00481B4C" w:rsidRDefault="00E64205" w:rsidP="00695BC4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ZH2</w:t>
            </w:r>
          </w:p>
        </w:tc>
        <w:tc>
          <w:tcPr>
            <w:tcW w:w="3471" w:type="dxa"/>
          </w:tcPr>
          <w:p w14:paraId="47CF5B77" w14:textId="4F0E0D0C" w:rsidR="00DB3D15" w:rsidRPr="00481B4C" w:rsidRDefault="00481B4C" w:rsidP="00481B4C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A.5</w:t>
            </w:r>
            <w:r>
              <w:rPr>
                <w:sz w:val="20"/>
                <w:szCs w:val="20"/>
              </w:rPr>
              <w:t xml:space="preserve"> </w:t>
            </w:r>
            <w:r w:rsidRPr="00481B4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81B4C">
              <w:rPr>
                <w:sz w:val="20"/>
                <w:szCs w:val="20"/>
              </w:rPr>
              <w:t>A</w:t>
            </w:r>
            <w:proofErr w:type="gramEnd"/>
            <w:r w:rsidRPr="00481B4C"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</w:rPr>
              <w:t>;</w:t>
            </w:r>
            <w:r w:rsidRPr="00481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B.3;</w:t>
            </w:r>
            <w:r w:rsidR="00AC550D">
              <w:rPr>
                <w:sz w:val="20"/>
                <w:szCs w:val="20"/>
              </w:rPr>
              <w:t xml:space="preserve"> C.2</w:t>
            </w:r>
            <w:r w:rsidRPr="00481B4C">
              <w:rPr>
                <w:sz w:val="20"/>
                <w:szCs w:val="20"/>
              </w:rPr>
              <w:t>, D.1</w:t>
            </w:r>
          </w:p>
        </w:tc>
      </w:tr>
      <w:tr w:rsidR="00DB3D15" w:rsidRPr="004543C3" w14:paraId="4A872842" w14:textId="77777777" w:rsidTr="00DB3D15">
        <w:trPr>
          <w:jc w:val="center"/>
        </w:trPr>
        <w:tc>
          <w:tcPr>
            <w:tcW w:w="5741" w:type="dxa"/>
          </w:tcPr>
          <w:p w14:paraId="62CA4C14" w14:textId="77777777" w:rsidR="00DB3D15" w:rsidRPr="00481B4C" w:rsidRDefault="00DB3D15" w:rsidP="00695BC4">
            <w:pPr>
              <w:rPr>
                <w:sz w:val="20"/>
              </w:rPr>
            </w:pPr>
            <w:r w:rsidRPr="00481B4C">
              <w:rPr>
                <w:sz w:val="20"/>
              </w:rPr>
              <w:t>Írásbeli és szóbeli vizsga (összegző teljesítményértékelés)</w:t>
            </w:r>
          </w:p>
        </w:tc>
        <w:tc>
          <w:tcPr>
            <w:tcW w:w="1417" w:type="dxa"/>
          </w:tcPr>
          <w:p w14:paraId="05D5739C" w14:textId="77777777" w:rsidR="00DB3D15" w:rsidRPr="00481B4C" w:rsidRDefault="00DB3D15" w:rsidP="00695BC4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V</w:t>
            </w:r>
          </w:p>
        </w:tc>
        <w:tc>
          <w:tcPr>
            <w:tcW w:w="3471" w:type="dxa"/>
          </w:tcPr>
          <w:p w14:paraId="68C0E111" w14:textId="622FEC3C" w:rsidR="00DB3D15" w:rsidRPr="00481B4C" w:rsidRDefault="00481B4C" w:rsidP="00695BC4">
            <w:pPr>
              <w:rPr>
                <w:sz w:val="20"/>
                <w:szCs w:val="20"/>
              </w:rPr>
            </w:pPr>
            <w:r w:rsidRPr="00481B4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.1 –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>.9; B.1 – B.3;</w:t>
            </w:r>
            <w:r w:rsidRPr="00481B4C">
              <w:rPr>
                <w:sz w:val="20"/>
                <w:szCs w:val="20"/>
              </w:rPr>
              <w:t xml:space="preserve"> </w:t>
            </w:r>
            <w:r w:rsidR="00AC550D">
              <w:rPr>
                <w:sz w:val="20"/>
                <w:szCs w:val="20"/>
              </w:rPr>
              <w:t xml:space="preserve">C.1 </w:t>
            </w:r>
            <w:r w:rsidR="00AC550D" w:rsidRPr="00481B4C">
              <w:rPr>
                <w:sz w:val="20"/>
                <w:szCs w:val="20"/>
              </w:rPr>
              <w:t>–</w:t>
            </w:r>
            <w:r w:rsidR="00AC550D">
              <w:rPr>
                <w:sz w:val="20"/>
                <w:szCs w:val="20"/>
              </w:rPr>
              <w:t xml:space="preserve"> </w:t>
            </w:r>
            <w:r w:rsidRPr="00481B4C">
              <w:rPr>
                <w:sz w:val="20"/>
                <w:szCs w:val="20"/>
              </w:rPr>
              <w:t>C</w:t>
            </w:r>
            <w:r w:rsidR="00AC550D">
              <w:rPr>
                <w:sz w:val="20"/>
                <w:szCs w:val="20"/>
              </w:rPr>
              <w:t>.2</w:t>
            </w:r>
            <w:r w:rsidRPr="00481B4C">
              <w:rPr>
                <w:sz w:val="20"/>
                <w:szCs w:val="20"/>
              </w:rPr>
              <w:t>; D.1</w:t>
            </w:r>
          </w:p>
        </w:tc>
      </w:tr>
    </w:tbl>
    <w:p w14:paraId="3E205913" w14:textId="77777777" w:rsidR="00DB3D15" w:rsidRDefault="00DB3D15">
      <w:pPr>
        <w:pStyle w:val="Listaszerbekezds"/>
      </w:pPr>
    </w:p>
    <w:p w14:paraId="5155F8DF" w14:textId="25D61B5F" w:rsidR="00C338AF" w:rsidRPr="007F0043" w:rsidRDefault="00C8189C">
      <w:pPr>
        <w:pStyle w:val="Szvegtrzs"/>
      </w:pPr>
      <w:r>
        <w:t>A szorgalmi időszakban tar</w:t>
      </w:r>
      <w:r w:rsidR="008C4EDC">
        <w:t xml:space="preserve">tott értékelések pontos idejét </w:t>
      </w:r>
      <w:r>
        <w:t>a „Részletes féléves ütemterv” tarta</w:t>
      </w:r>
      <w:r>
        <w:t>l</w:t>
      </w:r>
      <w:r>
        <w:t>mazza, mely elérhető a tárgy honlapján.</w:t>
      </w:r>
    </w:p>
    <w:p w14:paraId="6A3964F1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Teljesítményértékelések részaránya a minősítésben</w:t>
      </w:r>
    </w:p>
    <w:p w14:paraId="36E25AE7" w14:textId="77777777" w:rsidR="00C338AF" w:rsidRDefault="00C338AF"/>
    <w:tbl>
      <w:tblPr>
        <w:tblStyle w:val="Rcsostblzat"/>
        <w:tblW w:w="5697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954"/>
        <w:gridCol w:w="1743"/>
      </w:tblGrid>
      <w:tr w:rsidR="00C338AF" w14:paraId="319FAE87" w14:textId="77777777" w:rsidTr="00DB3D15">
        <w:trPr>
          <w:jc w:val="center"/>
        </w:trPr>
        <w:tc>
          <w:tcPr>
            <w:tcW w:w="3954" w:type="dxa"/>
            <w:shd w:val="clear" w:color="auto" w:fill="auto"/>
            <w:tcMar>
              <w:left w:w="103" w:type="dxa"/>
            </w:tcMar>
          </w:tcPr>
          <w:p w14:paraId="24C6123B" w14:textId="77777777" w:rsidR="00C338AF" w:rsidRDefault="00C8189C">
            <w:pPr>
              <w:spacing w:after="0"/>
              <w:jc w:val="center"/>
            </w:pPr>
            <w:r>
              <w:rPr>
                <w:b/>
              </w:rPr>
              <w:t>jele</w:t>
            </w:r>
          </w:p>
        </w:tc>
        <w:tc>
          <w:tcPr>
            <w:tcW w:w="1743" w:type="dxa"/>
            <w:shd w:val="clear" w:color="auto" w:fill="auto"/>
            <w:tcMar>
              <w:left w:w="103" w:type="dxa"/>
            </w:tcMar>
          </w:tcPr>
          <w:p w14:paraId="5DB631C1" w14:textId="77777777" w:rsidR="00C338AF" w:rsidRDefault="00C8189C">
            <w:pPr>
              <w:spacing w:after="0"/>
              <w:rPr>
                <w:b/>
              </w:rPr>
            </w:pPr>
            <w:r>
              <w:rPr>
                <w:b/>
              </w:rPr>
              <w:t>részarány</w:t>
            </w:r>
          </w:p>
        </w:tc>
      </w:tr>
      <w:tr w:rsidR="00C338AF" w14:paraId="45E904FC" w14:textId="77777777" w:rsidTr="00DB3D15">
        <w:trPr>
          <w:jc w:val="center"/>
        </w:trPr>
        <w:tc>
          <w:tcPr>
            <w:tcW w:w="3954" w:type="dxa"/>
            <w:shd w:val="clear" w:color="auto" w:fill="auto"/>
            <w:tcMar>
              <w:left w:w="103" w:type="dxa"/>
            </w:tcMar>
            <w:vAlign w:val="center"/>
          </w:tcPr>
          <w:p w14:paraId="55F73CB8" w14:textId="77777777" w:rsidR="00C338AF" w:rsidRDefault="00E64205">
            <w:pPr>
              <w:spacing w:after="0"/>
              <w:jc w:val="center"/>
            </w:pPr>
            <w:r>
              <w:t>ZH1</w:t>
            </w:r>
          </w:p>
        </w:tc>
        <w:tc>
          <w:tcPr>
            <w:tcW w:w="1743" w:type="dxa"/>
            <w:shd w:val="clear" w:color="auto" w:fill="auto"/>
            <w:tcMar>
              <w:left w:w="103" w:type="dxa"/>
            </w:tcMar>
            <w:vAlign w:val="center"/>
          </w:tcPr>
          <w:p w14:paraId="08E14A38" w14:textId="77777777" w:rsidR="00C338AF" w:rsidRDefault="00E64205">
            <w:pPr>
              <w:spacing w:after="0"/>
              <w:jc w:val="center"/>
            </w:pPr>
            <w:r>
              <w:t>20%</w:t>
            </w:r>
          </w:p>
        </w:tc>
      </w:tr>
      <w:tr w:rsidR="00C338AF" w14:paraId="6266DAEA" w14:textId="77777777" w:rsidTr="00DB3D15">
        <w:trPr>
          <w:jc w:val="center"/>
        </w:trPr>
        <w:tc>
          <w:tcPr>
            <w:tcW w:w="3954" w:type="dxa"/>
            <w:shd w:val="clear" w:color="auto" w:fill="auto"/>
            <w:tcMar>
              <w:left w:w="103" w:type="dxa"/>
            </w:tcMar>
            <w:vAlign w:val="center"/>
          </w:tcPr>
          <w:p w14:paraId="17710BB2" w14:textId="77777777" w:rsidR="00C338AF" w:rsidRDefault="00DB3D15">
            <w:pPr>
              <w:spacing w:after="0"/>
              <w:jc w:val="center"/>
            </w:pPr>
            <w:r>
              <w:t>ZH</w:t>
            </w:r>
            <w:r w:rsidR="00E64205">
              <w:t>2</w:t>
            </w:r>
          </w:p>
        </w:tc>
        <w:tc>
          <w:tcPr>
            <w:tcW w:w="1743" w:type="dxa"/>
            <w:shd w:val="clear" w:color="auto" w:fill="auto"/>
            <w:tcMar>
              <w:left w:w="103" w:type="dxa"/>
            </w:tcMar>
            <w:vAlign w:val="center"/>
          </w:tcPr>
          <w:p w14:paraId="66DA5E77" w14:textId="77777777" w:rsidR="00C338AF" w:rsidRDefault="00E64205">
            <w:pPr>
              <w:spacing w:after="0"/>
              <w:jc w:val="center"/>
            </w:pPr>
            <w:r>
              <w:t>2</w:t>
            </w:r>
            <w:r w:rsidR="00DB3D15">
              <w:t>0</w:t>
            </w:r>
            <w:r w:rsidR="00C8189C">
              <w:t>%</w:t>
            </w:r>
          </w:p>
        </w:tc>
      </w:tr>
      <w:tr w:rsidR="00C338AF" w14:paraId="0FBBE4C5" w14:textId="77777777" w:rsidTr="00DB3D15">
        <w:trPr>
          <w:jc w:val="center"/>
        </w:trPr>
        <w:tc>
          <w:tcPr>
            <w:tcW w:w="3954" w:type="dxa"/>
            <w:shd w:val="clear" w:color="auto" w:fill="auto"/>
            <w:tcMar>
              <w:left w:w="103" w:type="dxa"/>
            </w:tcMar>
            <w:vAlign w:val="center"/>
          </w:tcPr>
          <w:p w14:paraId="1EE91B20" w14:textId="77777777" w:rsidR="00C338AF" w:rsidRDefault="00C8189C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Szorgalmi időszakban összesen</w:t>
            </w:r>
          </w:p>
        </w:tc>
        <w:tc>
          <w:tcPr>
            <w:tcW w:w="1743" w:type="dxa"/>
            <w:shd w:val="clear" w:color="auto" w:fill="auto"/>
            <w:tcMar>
              <w:left w:w="103" w:type="dxa"/>
            </w:tcMar>
            <w:vAlign w:val="center"/>
          </w:tcPr>
          <w:p w14:paraId="6FC2657A" w14:textId="77777777" w:rsidR="00C338AF" w:rsidRDefault="00E6420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8189C">
              <w:rPr>
                <w:b/>
                <w:bCs/>
              </w:rPr>
              <w:t>0%</w:t>
            </w:r>
          </w:p>
        </w:tc>
      </w:tr>
      <w:tr w:rsidR="00C338AF" w14:paraId="3C35D6D5" w14:textId="77777777" w:rsidTr="00DB3D15">
        <w:trPr>
          <w:jc w:val="center"/>
        </w:trPr>
        <w:tc>
          <w:tcPr>
            <w:tcW w:w="3954" w:type="dxa"/>
            <w:shd w:val="clear" w:color="auto" w:fill="auto"/>
            <w:tcMar>
              <w:left w:w="103" w:type="dxa"/>
            </w:tcMar>
            <w:vAlign w:val="center"/>
          </w:tcPr>
          <w:p w14:paraId="36441F53" w14:textId="77777777" w:rsidR="00C338AF" w:rsidRDefault="00C8189C">
            <w:pPr>
              <w:spacing w:after="0"/>
              <w:jc w:val="center"/>
            </w:pPr>
            <w:r>
              <w:t>V</w:t>
            </w:r>
          </w:p>
        </w:tc>
        <w:tc>
          <w:tcPr>
            <w:tcW w:w="1743" w:type="dxa"/>
            <w:shd w:val="clear" w:color="auto" w:fill="auto"/>
            <w:tcMar>
              <w:left w:w="103" w:type="dxa"/>
            </w:tcMar>
            <w:vAlign w:val="center"/>
          </w:tcPr>
          <w:p w14:paraId="6E72911C" w14:textId="77777777" w:rsidR="00C338AF" w:rsidRDefault="00E64205">
            <w:pPr>
              <w:spacing w:after="0"/>
              <w:jc w:val="center"/>
            </w:pPr>
            <w:r>
              <w:t>6</w:t>
            </w:r>
            <w:r w:rsidR="00C8189C">
              <w:t>0%</w:t>
            </w:r>
          </w:p>
        </w:tc>
      </w:tr>
      <w:tr w:rsidR="00C338AF" w14:paraId="2C284B41" w14:textId="77777777" w:rsidTr="00DB3D15">
        <w:trPr>
          <w:jc w:val="center"/>
        </w:trPr>
        <w:tc>
          <w:tcPr>
            <w:tcW w:w="3954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787F865D" w14:textId="77777777" w:rsidR="00C338AF" w:rsidRDefault="00C8189C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F528795" w14:textId="77777777" w:rsidR="00C338AF" w:rsidRDefault="00C8189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</w:tr>
    </w:tbl>
    <w:p w14:paraId="20DBB436" w14:textId="77777777" w:rsidR="0091500B" w:rsidRDefault="0091500B">
      <w:pPr>
        <w:pStyle w:val="Szvegtrzs"/>
        <w:spacing w:after="0" w:line="240" w:lineRule="auto"/>
      </w:pPr>
    </w:p>
    <w:p w14:paraId="279D4CEB" w14:textId="0D793A1C" w:rsidR="00C338AF" w:rsidRDefault="00E64205">
      <w:pPr>
        <w:pStyle w:val="Szvegtrzs"/>
        <w:spacing w:after="0" w:line="240" w:lineRule="auto"/>
      </w:pPr>
      <w:r>
        <w:t>A zárthelyi dolgozatok</w:t>
      </w:r>
      <w:r w:rsidR="00C8189C">
        <w:t xml:space="preserve"> </w:t>
      </w:r>
      <w:r w:rsidR="001056BB">
        <w:t>sikertelen</w:t>
      </w:r>
      <w:r>
        <w:t>ek</w:t>
      </w:r>
      <w:r w:rsidR="00A47A72">
        <w:t xml:space="preserve">, ha </w:t>
      </w:r>
      <w:r w:rsidR="006973D6">
        <w:rPr>
          <w:color w:val="auto"/>
        </w:rPr>
        <w:t>azokon a hallgató külön-külön a</w:t>
      </w:r>
      <w:r w:rsidR="006973D6" w:rsidRPr="00DB3D15">
        <w:rPr>
          <w:color w:val="auto"/>
        </w:rPr>
        <w:t xml:space="preserve"> megszerezhető pon</w:t>
      </w:r>
      <w:r w:rsidR="006973D6" w:rsidRPr="00DB3D15">
        <w:rPr>
          <w:color w:val="auto"/>
        </w:rPr>
        <w:t>t</w:t>
      </w:r>
      <w:r w:rsidR="006973D6" w:rsidRPr="00DB3D15">
        <w:rPr>
          <w:color w:val="auto"/>
        </w:rPr>
        <w:t>szám legalább 45%</w:t>
      </w:r>
      <w:r w:rsidR="006973D6">
        <w:rPr>
          <w:color w:val="auto"/>
        </w:rPr>
        <w:t>-át nem éri el.</w:t>
      </w:r>
      <w:r w:rsidR="00DB3D15">
        <w:t xml:space="preserve"> </w:t>
      </w:r>
    </w:p>
    <w:p w14:paraId="589C89EB" w14:textId="77777777" w:rsidR="00C338AF" w:rsidRPr="00DB3D15" w:rsidRDefault="00C8189C">
      <w:pPr>
        <w:pStyle w:val="Cmsor2"/>
        <w:numPr>
          <w:ilvl w:val="1"/>
          <w:numId w:val="2"/>
        </w:numPr>
        <w:ind w:left="578" w:hanging="578"/>
        <w:rPr>
          <w:color w:val="auto"/>
        </w:rPr>
      </w:pPr>
      <w:r w:rsidRPr="00DB3D15">
        <w:rPr>
          <w:color w:val="auto"/>
        </w:rPr>
        <w:t>Az aláírás megszerzésének feltétele, az aláírás érvényessége</w:t>
      </w:r>
    </w:p>
    <w:p w14:paraId="0863DF35" w14:textId="77777777" w:rsidR="00C338AF" w:rsidRPr="00DB3D15" w:rsidRDefault="00C8189C">
      <w:pPr>
        <w:rPr>
          <w:color w:val="auto"/>
        </w:rPr>
      </w:pPr>
      <w:r w:rsidRPr="00DB3D15">
        <w:rPr>
          <w:color w:val="auto"/>
        </w:rPr>
        <w:t xml:space="preserve">Az aláírás megszerzésének feltétele, hogy a </w:t>
      </w:r>
      <w:r w:rsidR="006973D6">
        <w:rPr>
          <w:color w:val="auto"/>
        </w:rPr>
        <w:t>zárthelyi dol</w:t>
      </w:r>
      <w:bookmarkStart w:id="1" w:name="_GoBack"/>
      <w:bookmarkEnd w:id="1"/>
      <w:r w:rsidR="006973D6">
        <w:rPr>
          <w:color w:val="auto"/>
        </w:rPr>
        <w:t>gozatokon külön-külön a</w:t>
      </w:r>
      <w:r w:rsidRPr="00DB3D15">
        <w:rPr>
          <w:color w:val="auto"/>
        </w:rPr>
        <w:t xml:space="preserve"> megszerezh</w:t>
      </w:r>
      <w:r w:rsidRPr="00DB3D15">
        <w:rPr>
          <w:color w:val="auto"/>
        </w:rPr>
        <w:t>e</w:t>
      </w:r>
      <w:r w:rsidRPr="00DB3D15">
        <w:rPr>
          <w:color w:val="auto"/>
        </w:rPr>
        <w:t xml:space="preserve">tő pontszám legalább </w:t>
      </w:r>
      <w:r w:rsidR="00DB3D15" w:rsidRPr="00DB3D15">
        <w:rPr>
          <w:color w:val="auto"/>
        </w:rPr>
        <w:t>45</w:t>
      </w:r>
      <w:r w:rsidRPr="00DB3D15">
        <w:rPr>
          <w:color w:val="auto"/>
        </w:rPr>
        <w:t>%</w:t>
      </w:r>
      <w:r w:rsidR="00E64205">
        <w:rPr>
          <w:color w:val="auto"/>
        </w:rPr>
        <w:t>-át elérje a hallgató</w:t>
      </w:r>
      <w:r w:rsidR="006973D6">
        <w:rPr>
          <w:color w:val="auto"/>
        </w:rPr>
        <w:t>.</w:t>
      </w:r>
    </w:p>
    <w:p w14:paraId="7A7697C4" w14:textId="77777777" w:rsidR="00C338AF" w:rsidRDefault="00C8189C" w:rsidP="0091500B">
      <w:pPr>
        <w:pStyle w:val="Cmsor2"/>
        <w:numPr>
          <w:ilvl w:val="1"/>
          <w:numId w:val="2"/>
        </w:numPr>
        <w:ind w:left="578" w:hanging="578"/>
      </w:pPr>
      <w:r>
        <w:t xml:space="preserve">Érdemjegy megállapítás </w:t>
      </w:r>
    </w:p>
    <w:p w14:paraId="32A93E27" w14:textId="77777777" w:rsidR="00C338AF" w:rsidRDefault="00C8189C">
      <w:pPr>
        <w:pStyle w:val="Szvegtrzs"/>
      </w:pPr>
      <w:r>
        <w:t>A jelenléti feltételeket teljesítők eredményét az alábbi sz</w:t>
      </w:r>
      <w:r w:rsidR="00DB3D15">
        <w:t>empontok szerint határozzuk meg</w:t>
      </w:r>
      <w:r>
        <w:t xml:space="preserve">. </w:t>
      </w:r>
    </w:p>
    <w:p w14:paraId="322DBEEF" w14:textId="5B31B072" w:rsidR="00C338AF" w:rsidRDefault="00C8189C" w:rsidP="007F0043">
      <w:pPr>
        <w:pStyle w:val="Szvegtrzs"/>
      </w:pPr>
      <w:r>
        <w:t xml:space="preserve">A féléves eredményt </w:t>
      </w:r>
      <w:r w:rsidR="00DB3D15">
        <w:t>a zárthelyi dolgozat</w:t>
      </w:r>
      <w:r w:rsidR="0091500B">
        <w:t xml:space="preserve"> eredménye alapján számítjuk a következőképpen:</w:t>
      </w:r>
    </w:p>
    <w:tbl>
      <w:tblPr>
        <w:tblStyle w:val="Rcsostblzat"/>
        <w:tblW w:w="6040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812"/>
        <w:gridCol w:w="2228"/>
      </w:tblGrid>
      <w:tr w:rsidR="00C338AF" w14:paraId="50354FFA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2002B3AA" w14:textId="77777777" w:rsidR="00C338AF" w:rsidRDefault="00C8189C">
            <w:pPr>
              <w:spacing w:after="0"/>
            </w:pPr>
            <w:r>
              <w:rPr>
                <w:b/>
              </w:rPr>
              <w:t xml:space="preserve">érdemjegy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22B33642" w14:textId="77777777" w:rsidR="00C338AF" w:rsidRDefault="00C8189C">
            <w:pPr>
              <w:spacing w:after="0"/>
            </w:pPr>
            <w:r>
              <w:rPr>
                <w:b/>
              </w:rPr>
              <w:t>Pontszám (P)</w:t>
            </w:r>
          </w:p>
        </w:tc>
      </w:tr>
      <w:tr w:rsidR="00C338AF" w14:paraId="071CCEA6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284A0708" w14:textId="77777777" w:rsidR="00C338AF" w:rsidRDefault="00C8189C">
            <w:pPr>
              <w:spacing w:after="0"/>
            </w:pPr>
            <w:proofErr w:type="gramStart"/>
            <w:r>
              <w:t>jeles(</w:t>
            </w:r>
            <w:proofErr w:type="gramEnd"/>
            <w:r>
              <w:t>5)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3AFC963F" w14:textId="77777777" w:rsidR="00C338AF" w:rsidRDefault="00DB3D15">
            <w:pPr>
              <w:spacing w:after="0"/>
            </w:pPr>
            <w:r>
              <w:t>85</w:t>
            </w:r>
            <w:r w:rsidR="00C8189C">
              <w:t>&lt;=P</w:t>
            </w:r>
          </w:p>
        </w:tc>
      </w:tr>
      <w:tr w:rsidR="00C338AF" w14:paraId="24693741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77306F06" w14:textId="77777777" w:rsidR="00C338AF" w:rsidRDefault="00C8189C">
            <w:pPr>
              <w:spacing w:after="0"/>
            </w:pPr>
            <w:proofErr w:type="gramStart"/>
            <w:r>
              <w:t>jó(</w:t>
            </w:r>
            <w:proofErr w:type="gramEnd"/>
            <w:r>
              <w:t xml:space="preserve">4)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18202647" w14:textId="77777777" w:rsidR="00C338AF" w:rsidRDefault="00DB3D15">
            <w:pPr>
              <w:spacing w:after="0"/>
            </w:pPr>
            <w:r>
              <w:t>70&lt;=</w:t>
            </w:r>
            <w:proofErr w:type="gramStart"/>
            <w:r>
              <w:t>P&lt;</w:t>
            </w:r>
            <w:proofErr w:type="gramEnd"/>
            <w:r>
              <w:t>85</w:t>
            </w:r>
            <w:r w:rsidR="00C8189C">
              <w:t>%</w:t>
            </w:r>
          </w:p>
        </w:tc>
      </w:tr>
      <w:tr w:rsidR="00C338AF" w14:paraId="3CC30EB0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73797AB2" w14:textId="77777777" w:rsidR="00C338AF" w:rsidRDefault="00C8189C">
            <w:pPr>
              <w:spacing w:after="0"/>
            </w:pPr>
            <w:proofErr w:type="gramStart"/>
            <w:r>
              <w:t>közepes(</w:t>
            </w:r>
            <w:proofErr w:type="gramEnd"/>
            <w:r>
              <w:t xml:space="preserve">3)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166506D0" w14:textId="77777777" w:rsidR="00C338AF" w:rsidRDefault="00DB3D15">
            <w:pPr>
              <w:spacing w:after="0"/>
            </w:pPr>
            <w:r>
              <w:t>57</w:t>
            </w:r>
            <w:r w:rsidR="00C8189C">
              <w:t>&lt;=</w:t>
            </w:r>
            <w:proofErr w:type="gramStart"/>
            <w:r w:rsidR="00C8189C">
              <w:t>P&lt;</w:t>
            </w:r>
            <w:proofErr w:type="gramEnd"/>
            <w:r w:rsidR="00C8189C">
              <w:t>70%</w:t>
            </w:r>
          </w:p>
        </w:tc>
      </w:tr>
      <w:tr w:rsidR="00C338AF" w14:paraId="67F93141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22174776" w14:textId="77777777" w:rsidR="00C338AF" w:rsidRDefault="00C8189C">
            <w:pPr>
              <w:spacing w:after="0"/>
            </w:pPr>
            <w:proofErr w:type="gramStart"/>
            <w:r>
              <w:t>elégséges(</w:t>
            </w:r>
            <w:proofErr w:type="gramEnd"/>
            <w:r>
              <w:t xml:space="preserve">2)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721D4551" w14:textId="77777777" w:rsidR="00C338AF" w:rsidRDefault="00DB3D15">
            <w:pPr>
              <w:spacing w:after="0"/>
            </w:pPr>
            <w:r>
              <w:t>45&lt;=</w:t>
            </w:r>
            <w:proofErr w:type="gramStart"/>
            <w:r>
              <w:t>P&lt;</w:t>
            </w:r>
            <w:proofErr w:type="gramEnd"/>
            <w:r>
              <w:t>57</w:t>
            </w:r>
            <w:r w:rsidR="00C8189C">
              <w:t>%</w:t>
            </w:r>
          </w:p>
        </w:tc>
      </w:tr>
      <w:tr w:rsidR="00C338AF" w14:paraId="43FEC567" w14:textId="77777777" w:rsidTr="00DB3D15">
        <w:trPr>
          <w:jc w:val="center"/>
        </w:trPr>
        <w:tc>
          <w:tcPr>
            <w:tcW w:w="3812" w:type="dxa"/>
            <w:shd w:val="clear" w:color="auto" w:fill="auto"/>
            <w:tcMar>
              <w:left w:w="103" w:type="dxa"/>
            </w:tcMar>
          </w:tcPr>
          <w:p w14:paraId="5DE37C21" w14:textId="77777777" w:rsidR="00C338AF" w:rsidRDefault="00C8189C">
            <w:pPr>
              <w:spacing w:after="0"/>
            </w:pPr>
            <w:proofErr w:type="gramStart"/>
            <w:r>
              <w:t>elégtelen(</w:t>
            </w:r>
            <w:proofErr w:type="gramEnd"/>
            <w:r>
              <w:t xml:space="preserve">1) </w:t>
            </w:r>
          </w:p>
        </w:tc>
        <w:tc>
          <w:tcPr>
            <w:tcW w:w="2228" w:type="dxa"/>
            <w:shd w:val="clear" w:color="auto" w:fill="auto"/>
            <w:tcMar>
              <w:left w:w="103" w:type="dxa"/>
            </w:tcMar>
          </w:tcPr>
          <w:p w14:paraId="7B1DDEF1" w14:textId="77777777" w:rsidR="00C338AF" w:rsidRDefault="00DB3D15">
            <w:pPr>
              <w:spacing w:after="0"/>
            </w:pPr>
            <w:proofErr w:type="gramStart"/>
            <w:r>
              <w:t>P&lt;</w:t>
            </w:r>
            <w:proofErr w:type="gramEnd"/>
            <w:r>
              <w:t>45</w:t>
            </w:r>
            <w:r w:rsidR="00C8189C">
              <w:t>%</w:t>
            </w:r>
          </w:p>
        </w:tc>
      </w:tr>
    </w:tbl>
    <w:p w14:paraId="1FE7D204" w14:textId="77777777" w:rsidR="00DB3D15" w:rsidRDefault="00DB3D15" w:rsidP="00DB3D15">
      <w:pPr>
        <w:pStyle w:val="Szvegtrzs"/>
      </w:pPr>
    </w:p>
    <w:p w14:paraId="1B70B5E0" w14:textId="77777777" w:rsidR="00DB3D15" w:rsidRDefault="00DB3D15" w:rsidP="00DB3D15">
      <w:pPr>
        <w:pStyle w:val="Szvegtrzs"/>
      </w:pPr>
      <w:r>
        <w:lastRenderedPageBreak/>
        <w:t xml:space="preserve">A végső eredményt a </w:t>
      </w:r>
      <w:r w:rsidR="00481B4C">
        <w:t xml:space="preserve">két </w:t>
      </w:r>
      <w:r>
        <w:t xml:space="preserve">zárthelyi </w:t>
      </w:r>
      <w:r w:rsidR="00481B4C">
        <w:t xml:space="preserve">dolgozat </w:t>
      </w:r>
      <w:r>
        <w:t>és a vizsga 3.3. pont szerinti súlyozott átlaga ala</w:t>
      </w:r>
      <w:r>
        <w:t>p</w:t>
      </w:r>
      <w:r>
        <w:t>ján számítjuk.</w:t>
      </w:r>
    </w:p>
    <w:p w14:paraId="4DFE24B8" w14:textId="0D1AF29F" w:rsidR="00391F16" w:rsidRDefault="00391F16" w:rsidP="00391F16">
      <w:pPr>
        <w:pStyle w:val="Szvegtrzs"/>
        <w:spacing w:after="0" w:line="240" w:lineRule="auto"/>
      </w:pPr>
      <w:r>
        <w:t>A vizsgán mind az ivóvíz-, mind a szennyvíztisztítás témakörében legalább elégséges szintű felelet szükséges ahhoz, hogy a vizsga sikeres legyen.</w:t>
      </w:r>
    </w:p>
    <w:p w14:paraId="29D39896" w14:textId="77777777" w:rsidR="00C338AF" w:rsidRDefault="00C338AF"/>
    <w:p w14:paraId="359181FE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 xml:space="preserve">Javítás és pótlás </w:t>
      </w:r>
    </w:p>
    <w:p w14:paraId="2A34BC66" w14:textId="7AE2FE01" w:rsidR="00C338AF" w:rsidRDefault="00391F16">
      <w:bookmarkStart w:id="2" w:name="_Ref466271413"/>
      <w:bookmarkStart w:id="3" w:name="_Ref466271853"/>
      <w:bookmarkEnd w:id="2"/>
      <w:bookmarkEnd w:id="3"/>
      <w:r>
        <w:t xml:space="preserve"> Az egyik zárthelyi dolgozat </w:t>
      </w:r>
      <w:r w:rsidRPr="000C4DD6">
        <w:t xml:space="preserve">második pótlásra </w:t>
      </w:r>
      <w:proofErr w:type="spellStart"/>
      <w:r w:rsidRPr="000C4DD6">
        <w:t>különeljárási</w:t>
      </w:r>
      <w:proofErr w:type="spellEnd"/>
      <w:r w:rsidRPr="000C4DD6">
        <w:t xml:space="preserve"> díj ellenében van lehetőség.</w:t>
      </w:r>
    </w:p>
    <w:p w14:paraId="442C67B3" w14:textId="77777777" w:rsidR="00391F16" w:rsidRDefault="00391F16"/>
    <w:p w14:paraId="76932547" w14:textId="77777777" w:rsidR="00C338AF" w:rsidRDefault="00C8189C">
      <w:pPr>
        <w:pStyle w:val="Cmsor2"/>
        <w:numPr>
          <w:ilvl w:val="1"/>
          <w:numId w:val="2"/>
        </w:numPr>
        <w:ind w:left="578" w:hanging="578"/>
        <w:rPr>
          <w:bCs/>
        </w:rPr>
      </w:pPr>
      <w:r>
        <w:t xml:space="preserve">A tantárgy elvégzéséhez szükséges tanulmányi munka </w:t>
      </w:r>
    </w:p>
    <w:p w14:paraId="0609FA2D" w14:textId="77777777" w:rsidR="00C338AF" w:rsidRDefault="00C338AF"/>
    <w:tbl>
      <w:tblPr>
        <w:tblW w:w="5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6"/>
        <w:gridCol w:w="1476"/>
      </w:tblGrid>
      <w:tr w:rsidR="0091500B" w:rsidRPr="004543C3" w14:paraId="68821DE1" w14:textId="77777777" w:rsidTr="00695BC4">
        <w:trPr>
          <w:jc w:val="center"/>
        </w:trPr>
        <w:tc>
          <w:tcPr>
            <w:tcW w:w="4016" w:type="dxa"/>
            <w:shd w:val="clear" w:color="auto" w:fill="auto"/>
            <w:vAlign w:val="center"/>
          </w:tcPr>
          <w:p w14:paraId="47CF3AAF" w14:textId="77777777" w:rsidR="0091500B" w:rsidRPr="004543C3" w:rsidRDefault="0091500B" w:rsidP="00695BC4">
            <w:pPr>
              <w:pStyle w:val="szoveg"/>
              <w:jc w:val="left"/>
              <w:rPr>
                <w:rFonts w:ascii="Palatino Linotype" w:hAnsi="Palatino Linotype"/>
                <w:b/>
                <w:bCs/>
                <w:szCs w:val="20"/>
              </w:rPr>
            </w:pPr>
            <w:r w:rsidRPr="004543C3">
              <w:rPr>
                <w:rFonts w:ascii="Palatino Linotype" w:hAnsi="Palatino Linotype"/>
                <w:b/>
                <w:bCs/>
                <w:szCs w:val="20"/>
              </w:rPr>
              <w:t xml:space="preserve">Tevékenység 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740B1719" w14:textId="77777777" w:rsidR="0091500B" w:rsidRPr="004543C3" w:rsidRDefault="0091500B" w:rsidP="00695BC4">
            <w:pPr>
              <w:pStyle w:val="szoveg"/>
              <w:jc w:val="left"/>
              <w:rPr>
                <w:rFonts w:ascii="Palatino Linotype" w:hAnsi="Palatino Linotype"/>
                <w:b/>
                <w:bCs/>
                <w:szCs w:val="20"/>
              </w:rPr>
            </w:pPr>
            <w:r w:rsidRPr="004543C3">
              <w:rPr>
                <w:rFonts w:ascii="Palatino Linotype" w:hAnsi="Palatino Linotype"/>
                <w:b/>
                <w:bCs/>
                <w:szCs w:val="20"/>
              </w:rPr>
              <w:t xml:space="preserve">óra/félév </w:t>
            </w:r>
          </w:p>
        </w:tc>
      </w:tr>
      <w:tr w:rsidR="0091500B" w:rsidRPr="004543C3" w14:paraId="28013AA7" w14:textId="77777777" w:rsidTr="00695BC4">
        <w:trPr>
          <w:jc w:val="center"/>
        </w:trPr>
        <w:tc>
          <w:tcPr>
            <w:tcW w:w="4016" w:type="dxa"/>
            <w:shd w:val="clear" w:color="auto" w:fill="auto"/>
          </w:tcPr>
          <w:p w14:paraId="62C12E0F" w14:textId="77777777" w:rsidR="0091500B" w:rsidRPr="004543C3" w:rsidRDefault="0091500B" w:rsidP="00695BC4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 xml:space="preserve">részvétel a </w:t>
            </w:r>
            <w:r w:rsidRPr="004543C3">
              <w:rPr>
                <w:rFonts w:ascii="Palatino Linotype" w:hAnsi="Palatino Linotype"/>
                <w:bCs/>
                <w:szCs w:val="20"/>
              </w:rPr>
              <w:t xml:space="preserve">kontakt </w:t>
            </w:r>
            <w:r>
              <w:rPr>
                <w:rFonts w:ascii="Palatino Linotype" w:hAnsi="Palatino Linotype"/>
                <w:bCs/>
                <w:szCs w:val="20"/>
              </w:rPr>
              <w:t>tanórákon</w:t>
            </w:r>
          </w:p>
        </w:tc>
        <w:tc>
          <w:tcPr>
            <w:tcW w:w="1476" w:type="dxa"/>
            <w:shd w:val="clear" w:color="auto" w:fill="auto"/>
          </w:tcPr>
          <w:p w14:paraId="2810CFD1" w14:textId="77777777" w:rsidR="0091500B" w:rsidRPr="004543C3" w:rsidRDefault="0091500B" w:rsidP="00695BC4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 w:rsidRPr="004543C3">
              <w:rPr>
                <w:rFonts w:ascii="Palatino Linotype" w:hAnsi="Palatino Linotype"/>
                <w:bCs/>
                <w:szCs w:val="20"/>
              </w:rPr>
              <w:t>14×</w:t>
            </w:r>
            <w:r>
              <w:rPr>
                <w:rFonts w:ascii="Palatino Linotype" w:hAnsi="Palatino Linotype"/>
                <w:bCs/>
                <w:szCs w:val="20"/>
              </w:rPr>
              <w:t>3</w:t>
            </w:r>
            <w:r w:rsidRPr="004543C3">
              <w:rPr>
                <w:rFonts w:ascii="Palatino Linotype" w:hAnsi="Palatino Linotype"/>
                <w:bCs/>
                <w:szCs w:val="20"/>
              </w:rPr>
              <w:t>=</w:t>
            </w:r>
            <w:r>
              <w:rPr>
                <w:rFonts w:ascii="Palatino Linotype" w:hAnsi="Palatino Linotype"/>
                <w:bCs/>
                <w:szCs w:val="20"/>
              </w:rPr>
              <w:t>42</w:t>
            </w:r>
          </w:p>
        </w:tc>
      </w:tr>
      <w:tr w:rsidR="0091500B" w:rsidRPr="004543C3" w14:paraId="461A33B2" w14:textId="77777777" w:rsidTr="00695BC4">
        <w:trPr>
          <w:jc w:val="center"/>
        </w:trPr>
        <w:tc>
          <w:tcPr>
            <w:tcW w:w="4016" w:type="dxa"/>
            <w:shd w:val="clear" w:color="auto" w:fill="auto"/>
          </w:tcPr>
          <w:p w14:paraId="5233D536" w14:textId="77777777" w:rsidR="0091500B" w:rsidRPr="004543C3" w:rsidRDefault="0091500B" w:rsidP="00695BC4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 w:rsidRPr="004543C3">
              <w:rPr>
                <w:rFonts w:ascii="Palatino Linotype" w:hAnsi="Palatino Linotype"/>
                <w:bCs/>
                <w:szCs w:val="20"/>
              </w:rPr>
              <w:t xml:space="preserve">felkészülés </w:t>
            </w:r>
            <w:r>
              <w:rPr>
                <w:rFonts w:ascii="Palatino Linotype" w:hAnsi="Palatino Linotype"/>
                <w:bCs/>
                <w:szCs w:val="20"/>
              </w:rPr>
              <w:t xml:space="preserve">a </w:t>
            </w:r>
            <w:r w:rsidRPr="004543C3">
              <w:rPr>
                <w:rFonts w:ascii="Palatino Linotype" w:hAnsi="Palatino Linotype"/>
                <w:bCs/>
                <w:szCs w:val="20"/>
              </w:rPr>
              <w:t xml:space="preserve">teljesítményértékelésekre </w:t>
            </w:r>
          </w:p>
        </w:tc>
        <w:tc>
          <w:tcPr>
            <w:tcW w:w="1476" w:type="dxa"/>
            <w:shd w:val="clear" w:color="auto" w:fill="auto"/>
          </w:tcPr>
          <w:p w14:paraId="29874977" w14:textId="77777777" w:rsidR="0091500B" w:rsidRPr="004543C3" w:rsidRDefault="006973D6" w:rsidP="00695BC4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48</w:t>
            </w:r>
          </w:p>
        </w:tc>
      </w:tr>
      <w:tr w:rsidR="0091500B" w:rsidRPr="004543C3" w14:paraId="5FB6BEF0" w14:textId="77777777" w:rsidTr="00695BC4">
        <w:trPr>
          <w:jc w:val="center"/>
        </w:trPr>
        <w:tc>
          <w:tcPr>
            <w:tcW w:w="4016" w:type="dxa"/>
            <w:shd w:val="clear" w:color="auto" w:fill="auto"/>
          </w:tcPr>
          <w:p w14:paraId="763E08DB" w14:textId="77777777" w:rsidR="0091500B" w:rsidRPr="004543C3" w:rsidRDefault="0091500B" w:rsidP="00695BC4">
            <w:pPr>
              <w:pStyle w:val="szoveg"/>
              <w:jc w:val="left"/>
              <w:rPr>
                <w:rFonts w:ascii="Palatino Linotype" w:hAnsi="Palatino Linotype"/>
                <w:bCs/>
                <w:szCs w:val="20"/>
              </w:rPr>
            </w:pPr>
            <w:r w:rsidRPr="004543C3">
              <w:rPr>
                <w:rFonts w:ascii="Palatino Linotype" w:hAnsi="Palatino Linotype"/>
                <w:bCs/>
                <w:szCs w:val="20"/>
              </w:rPr>
              <w:t xml:space="preserve">vizsgafelkészülés </w:t>
            </w:r>
          </w:p>
        </w:tc>
        <w:tc>
          <w:tcPr>
            <w:tcW w:w="1476" w:type="dxa"/>
            <w:shd w:val="clear" w:color="auto" w:fill="auto"/>
          </w:tcPr>
          <w:p w14:paraId="44E6A78E" w14:textId="77777777" w:rsidR="0091500B" w:rsidRPr="004543C3" w:rsidRDefault="006973D6" w:rsidP="00695BC4">
            <w:pPr>
              <w:pStyle w:val="szoveg"/>
              <w:rPr>
                <w:rFonts w:ascii="Palatino Linotype" w:hAnsi="Palatino Linotype"/>
                <w:bCs/>
                <w:szCs w:val="20"/>
              </w:rPr>
            </w:pPr>
            <w:r>
              <w:rPr>
                <w:rFonts w:ascii="Palatino Linotype" w:hAnsi="Palatino Linotype"/>
                <w:bCs/>
                <w:szCs w:val="20"/>
              </w:rPr>
              <w:t>30</w:t>
            </w:r>
          </w:p>
        </w:tc>
      </w:tr>
      <w:tr w:rsidR="0091500B" w:rsidRPr="004543C3" w14:paraId="4CA2FD3B" w14:textId="77777777" w:rsidTr="00695BC4">
        <w:trPr>
          <w:jc w:val="center"/>
        </w:trPr>
        <w:tc>
          <w:tcPr>
            <w:tcW w:w="4016" w:type="dxa"/>
            <w:shd w:val="clear" w:color="auto" w:fill="auto"/>
          </w:tcPr>
          <w:p w14:paraId="00C7DA8D" w14:textId="77777777" w:rsidR="0091500B" w:rsidRPr="004543C3" w:rsidRDefault="0091500B" w:rsidP="00695BC4">
            <w:pPr>
              <w:pStyle w:val="szoveg"/>
              <w:jc w:val="right"/>
              <w:rPr>
                <w:rFonts w:ascii="Palatino Linotype" w:hAnsi="Palatino Linotype"/>
                <w:b/>
                <w:bCs/>
                <w:szCs w:val="20"/>
              </w:rPr>
            </w:pPr>
            <w:r w:rsidRPr="004543C3">
              <w:rPr>
                <w:rFonts w:ascii="Palatino Linotype" w:hAnsi="Palatino Linotype"/>
                <w:b/>
                <w:bCs/>
                <w:szCs w:val="20"/>
              </w:rPr>
              <w:t xml:space="preserve">összesen </w:t>
            </w:r>
          </w:p>
        </w:tc>
        <w:tc>
          <w:tcPr>
            <w:tcW w:w="1476" w:type="dxa"/>
            <w:shd w:val="clear" w:color="auto" w:fill="auto"/>
          </w:tcPr>
          <w:p w14:paraId="0E181324" w14:textId="77777777" w:rsidR="0091500B" w:rsidRPr="004543C3" w:rsidRDefault="0091500B" w:rsidP="00695BC4">
            <w:pPr>
              <w:pStyle w:val="szoveg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>120</w:t>
            </w:r>
          </w:p>
        </w:tc>
      </w:tr>
    </w:tbl>
    <w:p w14:paraId="23D9ABC5" w14:textId="77777777" w:rsidR="0091500B" w:rsidRDefault="0091500B"/>
    <w:p w14:paraId="709F72F0" w14:textId="77777777" w:rsidR="00C338AF" w:rsidRDefault="00C8189C">
      <w:pPr>
        <w:pStyle w:val="Cmsor2"/>
        <w:numPr>
          <w:ilvl w:val="1"/>
          <w:numId w:val="2"/>
        </w:numPr>
        <w:ind w:left="578" w:hanging="578"/>
      </w:pPr>
      <w:r>
        <w:t>A tantárgykövetelmények érvényessége</w:t>
      </w:r>
    </w:p>
    <w:p w14:paraId="3009613E" w14:textId="77777777" w:rsidR="00C338AF" w:rsidRDefault="00C8189C">
      <w:pPr>
        <w:rPr>
          <w:highlight w:val="yellow"/>
        </w:rPr>
      </w:pPr>
      <w:r>
        <w:t>2017. szeptember 1-től</w:t>
      </w:r>
    </w:p>
    <w:p w14:paraId="72E44B55" w14:textId="77777777" w:rsidR="00C338AF" w:rsidRDefault="00C338AF"/>
    <w:sectPr w:rsidR="00C338AF">
      <w:pgSz w:w="11906" w:h="16838"/>
      <w:pgMar w:top="567" w:right="567" w:bottom="567" w:left="1134" w:header="0" w:footer="0" w:gutter="0"/>
      <w:cols w:space="708"/>
      <w:formProt w:val="0"/>
      <w:docGrid w:linePitch="360" w:charSpace="-61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2D3C0E" w15:done="0"/>
  <w15:commentEx w15:paraId="4B65DDA5" w15:done="0"/>
  <w15:commentEx w15:paraId="1DF4E6D3" w15:done="0"/>
  <w15:commentEx w15:paraId="5747E4FF" w15:done="0"/>
  <w15:commentEx w15:paraId="7C28FB40" w15:done="0"/>
  <w15:commentEx w15:paraId="2C194415" w15:done="0"/>
  <w15:commentEx w15:paraId="6055A36E" w15:done="0"/>
  <w15:commentEx w15:paraId="506BAFF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1"/>
    <w:family w:val="roman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0ED"/>
    <w:multiLevelType w:val="multilevel"/>
    <w:tmpl w:val="76C2541E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6505B50"/>
    <w:multiLevelType w:val="multilevel"/>
    <w:tmpl w:val="9FC00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5E53EA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EE38D7"/>
    <w:multiLevelType w:val="hybridMultilevel"/>
    <w:tmpl w:val="0584FA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6A46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541E1"/>
    <w:multiLevelType w:val="multilevel"/>
    <w:tmpl w:val="23F039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CFE711B"/>
    <w:multiLevelType w:val="multilevel"/>
    <w:tmpl w:val="F446CB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867795D"/>
    <w:multiLevelType w:val="multilevel"/>
    <w:tmpl w:val="4AE6BE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89503C"/>
    <w:multiLevelType w:val="multilevel"/>
    <w:tmpl w:val="BC1862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D9C1616"/>
    <w:multiLevelType w:val="multilevel"/>
    <w:tmpl w:val="F52082B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22B563C"/>
    <w:multiLevelType w:val="multilevel"/>
    <w:tmpl w:val="E662EFDE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0">
    <w:nsid w:val="651D5731"/>
    <w:multiLevelType w:val="multilevel"/>
    <w:tmpl w:val="7FA8C6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653622BF"/>
    <w:multiLevelType w:val="multilevel"/>
    <w:tmpl w:val="70B68C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2930A3"/>
    <w:multiLevelType w:val="multilevel"/>
    <w:tmpl w:val="1660B7D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75E52FF5"/>
    <w:multiLevelType w:val="multilevel"/>
    <w:tmpl w:val="2738F4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C633990"/>
    <w:multiLevelType w:val="multilevel"/>
    <w:tmpl w:val="07CA24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CDA06B6"/>
    <w:multiLevelType w:val="multilevel"/>
    <w:tmpl w:val="2DF2198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D336C5F"/>
    <w:multiLevelType w:val="multilevel"/>
    <w:tmpl w:val="913890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15"/>
  </w:num>
  <w:num w:numId="6">
    <w:abstractNumId w:val="13"/>
  </w:num>
  <w:num w:numId="7">
    <w:abstractNumId w:val="8"/>
  </w:num>
  <w:num w:numId="8">
    <w:abstractNumId w:val="11"/>
  </w:num>
  <w:num w:numId="9">
    <w:abstractNumId w:val="14"/>
  </w:num>
  <w:num w:numId="10">
    <w:abstractNumId w:val="16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4"/>
  </w:num>
  <w:num w:numId="1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s Lovas">
    <w15:presenceInfo w15:providerId="Windows Live" w15:userId="1ec654edbfbce2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AF"/>
    <w:rsid w:val="00055FCA"/>
    <w:rsid w:val="00056A52"/>
    <w:rsid w:val="000755D4"/>
    <w:rsid w:val="001056BB"/>
    <w:rsid w:val="0029596E"/>
    <w:rsid w:val="002E152B"/>
    <w:rsid w:val="00322395"/>
    <w:rsid w:val="00391F16"/>
    <w:rsid w:val="00481B4C"/>
    <w:rsid w:val="00595C83"/>
    <w:rsid w:val="006973D6"/>
    <w:rsid w:val="00706B08"/>
    <w:rsid w:val="0071443B"/>
    <w:rsid w:val="007D7C68"/>
    <w:rsid w:val="007F0043"/>
    <w:rsid w:val="00865A30"/>
    <w:rsid w:val="008C4EDC"/>
    <w:rsid w:val="0090712E"/>
    <w:rsid w:val="0091500B"/>
    <w:rsid w:val="009E5BDE"/>
    <w:rsid w:val="00A47A72"/>
    <w:rsid w:val="00AC550D"/>
    <w:rsid w:val="00AC5F00"/>
    <w:rsid w:val="00BB1D49"/>
    <w:rsid w:val="00C338AF"/>
    <w:rsid w:val="00C77BF4"/>
    <w:rsid w:val="00C8189C"/>
    <w:rsid w:val="00D0626B"/>
    <w:rsid w:val="00D25B95"/>
    <w:rsid w:val="00DB3D15"/>
    <w:rsid w:val="00DF7A86"/>
    <w:rsid w:val="00E2339C"/>
    <w:rsid w:val="00E535D8"/>
    <w:rsid w:val="00E64205"/>
    <w:rsid w:val="00E72AAE"/>
    <w:rsid w:val="00E9585C"/>
    <w:rsid w:val="00F5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4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89C"/>
    <w:pPr>
      <w:spacing w:after="40"/>
      <w:jc w:val="both"/>
    </w:pPr>
    <w:rPr>
      <w:rFonts w:ascii="Palatino Linotype" w:eastAsia="Calibri" w:hAnsi="Palatino Linotype" w:cstheme="minorHAnsi"/>
      <w:color w:val="00000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47B41"/>
    <w:pPr>
      <w:keepNext/>
      <w:keepLines/>
      <w:numPr>
        <w:numId w:val="1"/>
      </w:numPr>
      <w:shd w:val="clear" w:color="auto" w:fill="D9D9D9" w:themeFill="background1" w:themeFillShade="D9"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21EB"/>
    <w:pPr>
      <w:keepNext/>
      <w:keepLines/>
      <w:numPr>
        <w:ilvl w:val="1"/>
        <w:numId w:val="1"/>
      </w:numPr>
      <w:pBdr>
        <w:bottom w:val="single" w:sz="4" w:space="1" w:color="00000A"/>
      </w:pBdr>
      <w:spacing w:before="120" w:after="0"/>
      <w:ind w:left="578" w:hanging="578"/>
      <w:jc w:val="left"/>
      <w:outlineLvl w:val="1"/>
    </w:pPr>
    <w:rPr>
      <w:rFonts w:eastAsiaTheme="majorEastAsia" w:cstheme="majorBidi"/>
      <w:i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CB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CB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CB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CB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C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C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C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uiPriority w:val="10"/>
    <w:qFormat/>
    <w:rsid w:val="00A91CB2"/>
    <w:rPr>
      <w:rFonts w:ascii="Palatino Linotype" w:eastAsiaTheme="majorEastAsia" w:hAnsi="Palatino Linotype" w:cstheme="majorBidi"/>
      <w:b/>
      <w:caps/>
      <w:spacing w:val="-10"/>
      <w:sz w:val="32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47B41"/>
    <w:rPr>
      <w:rFonts w:ascii="Palatino Linotype" w:eastAsiaTheme="majorEastAsia" w:hAnsi="Palatino Linotype" w:cstheme="majorBidi"/>
      <w:caps/>
      <w:sz w:val="24"/>
      <w:szCs w:val="32"/>
      <w:shd w:val="clear" w:color="auto" w:fill="D9D9D9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C621EB"/>
    <w:rPr>
      <w:rFonts w:ascii="Palatino Linotype" w:eastAsiaTheme="majorEastAsia" w:hAnsi="Palatino Linotype" w:cstheme="majorBidi"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91C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A91C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rnetLink">
    <w:name w:val="Internet Link"/>
    <w:basedOn w:val="Bekezdsalapbettpusa"/>
    <w:uiPriority w:val="99"/>
    <w:unhideWhenUsed/>
    <w:rsid w:val="00A03517"/>
    <w:rPr>
      <w:color w:val="0563C1" w:themeColor="hyperlink"/>
      <w:u w:val="single"/>
    </w:rPr>
  </w:style>
  <w:style w:type="character" w:customStyle="1" w:styleId="szovegChar">
    <w:name w:val="szoveg Char"/>
    <w:qFormat/>
    <w:rsid w:val="001E632A"/>
    <w:rPr>
      <w:rFonts w:ascii="Times New Roman" w:eastAsia="Times New Roman" w:hAnsi="Times New Roman" w:cs="Times New Roman"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D01B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Noto Sans CJK SC Regular" w:hAnsi="Arial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Times New Roman" w:hAnsi="Times New Roman"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10"/>
    <w:qFormat/>
    <w:rsid w:val="00A91CB2"/>
    <w:pPr>
      <w:spacing w:after="0"/>
      <w:contextualSpacing/>
    </w:pPr>
    <w:rPr>
      <w:rFonts w:eastAsiaTheme="majorEastAsia" w:cstheme="majorBidi"/>
      <w:b/>
      <w:caps/>
      <w:spacing w:val="-10"/>
      <w:sz w:val="32"/>
      <w:szCs w:val="56"/>
    </w:rPr>
  </w:style>
  <w:style w:type="paragraph" w:styleId="Listaszerbekezds">
    <w:name w:val="List Paragraph"/>
    <w:basedOn w:val="Norml"/>
    <w:uiPriority w:val="34"/>
    <w:qFormat/>
    <w:rsid w:val="00DB6E76"/>
    <w:pPr>
      <w:ind w:left="720"/>
      <w:contextualSpacing/>
    </w:pPr>
  </w:style>
  <w:style w:type="paragraph" w:customStyle="1" w:styleId="listaszoveg">
    <w:name w:val="listaszoveg"/>
    <w:basedOn w:val="Norml"/>
    <w:qFormat/>
    <w:rsid w:val="00175BAF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qFormat/>
    <w:rsid w:val="00175BAF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1E632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D01B8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"/>
    <w:qFormat/>
  </w:style>
  <w:style w:type="paragraph" w:customStyle="1" w:styleId="TableHeading">
    <w:name w:val="Table Heading"/>
    <w:basedOn w:val="TableContents"/>
    <w:qFormat/>
  </w:style>
  <w:style w:type="table" w:styleId="Rcsostblzat">
    <w:name w:val="Table Grid"/>
    <w:basedOn w:val="Normltblzat"/>
    <w:rsid w:val="0079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65A30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150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500B"/>
    <w:rPr>
      <w:rFonts w:eastAsiaTheme="minorHAnsi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500B"/>
    <w:rPr>
      <w:rFonts w:ascii="Palatino Linotype" w:hAnsi="Palatino Linotype" w:cstheme="minorHAns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5FCA"/>
    <w:rPr>
      <w:rFonts w:eastAsia="Calibri"/>
      <w:b/>
      <w:bCs/>
      <w:color w:val="00000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5FCA"/>
    <w:rPr>
      <w:rFonts w:ascii="Palatino Linotype" w:eastAsia="Calibri" w:hAnsi="Palatino Linotype" w:cstheme="minorHAnsi"/>
      <w:b/>
      <w:bCs/>
      <w:color w:val="00000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189C"/>
    <w:pPr>
      <w:spacing w:after="40"/>
      <w:jc w:val="both"/>
    </w:pPr>
    <w:rPr>
      <w:rFonts w:ascii="Palatino Linotype" w:eastAsia="Calibri" w:hAnsi="Palatino Linotype" w:cstheme="minorHAnsi"/>
      <w:color w:val="00000A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047B41"/>
    <w:pPr>
      <w:keepNext/>
      <w:keepLines/>
      <w:numPr>
        <w:numId w:val="1"/>
      </w:numPr>
      <w:shd w:val="clear" w:color="auto" w:fill="D9D9D9" w:themeFill="background1" w:themeFillShade="D9"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621EB"/>
    <w:pPr>
      <w:keepNext/>
      <w:keepLines/>
      <w:numPr>
        <w:ilvl w:val="1"/>
        <w:numId w:val="1"/>
      </w:numPr>
      <w:pBdr>
        <w:bottom w:val="single" w:sz="4" w:space="1" w:color="00000A"/>
      </w:pBdr>
      <w:spacing w:before="120" w:after="0"/>
      <w:ind w:left="578" w:hanging="578"/>
      <w:jc w:val="left"/>
      <w:outlineLvl w:val="1"/>
    </w:pPr>
    <w:rPr>
      <w:rFonts w:eastAsiaTheme="majorEastAsia" w:cstheme="majorBidi"/>
      <w:i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1CB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1CB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1CB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1CB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1CB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1CB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1CB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basedOn w:val="Bekezdsalapbettpusa"/>
    <w:link w:val="Cm"/>
    <w:uiPriority w:val="10"/>
    <w:qFormat/>
    <w:rsid w:val="00A91CB2"/>
    <w:rPr>
      <w:rFonts w:ascii="Palatino Linotype" w:eastAsiaTheme="majorEastAsia" w:hAnsi="Palatino Linotype" w:cstheme="majorBidi"/>
      <w:b/>
      <w:caps/>
      <w:spacing w:val="-10"/>
      <w:sz w:val="32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047B41"/>
    <w:rPr>
      <w:rFonts w:ascii="Palatino Linotype" w:eastAsiaTheme="majorEastAsia" w:hAnsi="Palatino Linotype" w:cstheme="majorBidi"/>
      <w:caps/>
      <w:sz w:val="24"/>
      <w:szCs w:val="32"/>
      <w:shd w:val="clear" w:color="auto" w:fill="D9D9D9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C621EB"/>
    <w:rPr>
      <w:rFonts w:ascii="Palatino Linotype" w:eastAsiaTheme="majorEastAsia" w:hAnsi="Palatino Linotype" w:cstheme="majorBidi"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91CB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91CB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A91C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A91C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InternetLink">
    <w:name w:val="Internet Link"/>
    <w:basedOn w:val="Bekezdsalapbettpusa"/>
    <w:uiPriority w:val="99"/>
    <w:unhideWhenUsed/>
    <w:rsid w:val="00A03517"/>
    <w:rPr>
      <w:color w:val="0563C1" w:themeColor="hyperlink"/>
      <w:u w:val="single"/>
    </w:rPr>
  </w:style>
  <w:style w:type="character" w:customStyle="1" w:styleId="szovegChar">
    <w:name w:val="szoveg Char"/>
    <w:qFormat/>
    <w:rsid w:val="001E632A"/>
    <w:rPr>
      <w:rFonts w:ascii="Times New Roman" w:eastAsia="Times New Roman" w:hAnsi="Times New Roman" w:cs="Times New Roman"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0D01B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Arial" w:eastAsia="Noto Sans CJK SC Regular" w:hAnsi="Arial" w:cs="Free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ascii="Times New Roman" w:hAnsi="Times New Roman" w:cs="Free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Times New Roman" w:hAnsi="Times New Roman" w:cs="FreeSans"/>
      <w:i/>
      <w:iCs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ascii="Times New Roman" w:hAnsi="Times New Roman" w:cs="FreeSans"/>
    </w:rPr>
  </w:style>
  <w:style w:type="paragraph" w:styleId="Cm">
    <w:name w:val="Title"/>
    <w:basedOn w:val="Norml"/>
    <w:next w:val="Norml"/>
    <w:link w:val="CmChar"/>
    <w:uiPriority w:val="10"/>
    <w:qFormat/>
    <w:rsid w:val="00A91CB2"/>
    <w:pPr>
      <w:spacing w:after="0"/>
      <w:contextualSpacing/>
    </w:pPr>
    <w:rPr>
      <w:rFonts w:eastAsiaTheme="majorEastAsia" w:cstheme="majorBidi"/>
      <w:b/>
      <w:caps/>
      <w:spacing w:val="-10"/>
      <w:sz w:val="32"/>
      <w:szCs w:val="56"/>
    </w:rPr>
  </w:style>
  <w:style w:type="paragraph" w:styleId="Listaszerbekezds">
    <w:name w:val="List Paragraph"/>
    <w:basedOn w:val="Norml"/>
    <w:uiPriority w:val="34"/>
    <w:qFormat/>
    <w:rsid w:val="00DB6E76"/>
    <w:pPr>
      <w:ind w:left="720"/>
      <w:contextualSpacing/>
    </w:pPr>
  </w:style>
  <w:style w:type="paragraph" w:customStyle="1" w:styleId="listaszoveg">
    <w:name w:val="listaszoveg"/>
    <w:basedOn w:val="Norml"/>
    <w:qFormat/>
    <w:rsid w:val="00175BAF"/>
    <w:pPr>
      <w:tabs>
        <w:tab w:val="left" w:pos="567"/>
      </w:tabs>
      <w:spacing w:after="0"/>
      <w:ind w:left="567" w:hanging="567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lcim">
    <w:name w:val="alcim"/>
    <w:basedOn w:val="Norml"/>
    <w:qFormat/>
    <w:rsid w:val="00175BAF"/>
    <w:pPr>
      <w:keepNext/>
      <w:spacing w:before="120" w:after="120"/>
    </w:pPr>
    <w:rPr>
      <w:rFonts w:ascii="Times New Roman" w:eastAsia="Times New Roman" w:hAnsi="Times New Roman" w:cs="Times New Roman"/>
      <w:b/>
      <w:bCs/>
      <w:szCs w:val="28"/>
    </w:rPr>
  </w:style>
  <w:style w:type="paragraph" w:customStyle="1" w:styleId="szoveg">
    <w:name w:val="szoveg"/>
    <w:basedOn w:val="Norml"/>
    <w:qFormat/>
    <w:rsid w:val="001E632A"/>
    <w:pPr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0D01B8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l"/>
    <w:qFormat/>
  </w:style>
  <w:style w:type="paragraph" w:customStyle="1" w:styleId="TableHeading">
    <w:name w:val="Table Heading"/>
    <w:basedOn w:val="TableContents"/>
    <w:qFormat/>
  </w:style>
  <w:style w:type="table" w:styleId="Rcsostblzat">
    <w:name w:val="Table Grid"/>
    <w:basedOn w:val="Normltblzat"/>
    <w:rsid w:val="00791E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65A30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91500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500B"/>
    <w:rPr>
      <w:rFonts w:eastAsiaTheme="minorHAnsi"/>
      <w:color w:val="auto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500B"/>
    <w:rPr>
      <w:rFonts w:ascii="Palatino Linotype" w:hAnsi="Palatino Linotype" w:cstheme="minorHAns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5FCA"/>
    <w:rPr>
      <w:rFonts w:eastAsia="Calibri"/>
      <w:b/>
      <w:bCs/>
      <w:color w:val="00000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5FCA"/>
    <w:rPr>
      <w:rFonts w:ascii="Palatino Linotype" w:eastAsia="Calibri" w:hAnsi="Palatino Linotype" w:cstheme="minorHAnsi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ziger.miklos@epito.bme.hu" TargetMode="External"/><Relationship Id="rId3" Type="http://schemas.openxmlformats.org/officeDocument/2006/relationships/styles" Target="styles.xml"/><Relationship Id="rId7" Type="http://schemas.openxmlformats.org/officeDocument/2006/relationships/hyperlink" Target="mailto:laky.dora@epito.bme.hu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4566C-EB86-40BF-9B83-4D1E746E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BME GPK EGR</Company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Bihari Péter</dc:creator>
  <cp:lastModifiedBy>Dora</cp:lastModifiedBy>
  <cp:revision>4</cp:revision>
  <cp:lastPrinted>2016-04-18T11:21:00Z</cp:lastPrinted>
  <dcterms:created xsi:type="dcterms:W3CDTF">2017-04-18T10:37:00Z</dcterms:created>
  <dcterms:modified xsi:type="dcterms:W3CDTF">2017-04-25T16:23:00Z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BME GPK EGR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