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18E04" w14:textId="77777777" w:rsidR="00C338AF" w:rsidRDefault="00C8189C">
      <w:pPr>
        <w:pStyle w:val="Cm"/>
        <w:pBdr>
          <w:bottom w:val="single" w:sz="4" w:space="1" w:color="00000A"/>
        </w:pBdr>
        <w:jc w:val="center"/>
        <w:rPr>
          <w:sz w:val="36"/>
        </w:rPr>
      </w:pPr>
      <w:bookmarkStart w:id="0" w:name="_GoBack"/>
      <w:bookmarkEnd w:id="0"/>
      <w:r>
        <w:rPr>
          <w:sz w:val="36"/>
        </w:rPr>
        <w:t>TANTÁRGYI ADATLAP</w:t>
      </w:r>
    </w:p>
    <w:p w14:paraId="5B01FA9B" w14:textId="77777777" w:rsidR="00C338AF" w:rsidRDefault="00C338AF"/>
    <w:p w14:paraId="75F7ED43" w14:textId="77777777" w:rsidR="00C338AF" w:rsidRDefault="00C8189C">
      <w:pPr>
        <w:pStyle w:val="Cm"/>
        <w:numPr>
          <w:ilvl w:val="0"/>
          <w:numId w:val="10"/>
        </w:numPr>
        <w:ind w:left="709" w:hanging="709"/>
        <w:jc w:val="center"/>
      </w:pPr>
      <w:r>
        <w:t>Tantárgyleírás</w:t>
      </w:r>
    </w:p>
    <w:p w14:paraId="43562531" w14:textId="77777777" w:rsidR="00C338AF" w:rsidRDefault="00C338AF"/>
    <w:p w14:paraId="5ADD9A65" w14:textId="77777777" w:rsidR="00C338AF" w:rsidRDefault="00C8189C">
      <w:pPr>
        <w:pStyle w:val="Cmsor1"/>
        <w:numPr>
          <w:ilvl w:val="0"/>
          <w:numId w:val="2"/>
        </w:numPr>
        <w:shd w:val="clear" w:color="auto" w:fill="D9D9D9"/>
      </w:pPr>
      <w:r>
        <w:t>alapadatok</w:t>
      </w:r>
    </w:p>
    <w:p w14:paraId="02790D7B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Tantárgy neve </w:t>
      </w:r>
    </w:p>
    <w:p w14:paraId="7906D3AA" w14:textId="77777777" w:rsidR="00C338AF" w:rsidRDefault="00870A10">
      <w:r>
        <w:rPr>
          <w:b/>
        </w:rPr>
        <w:t>ÉPÍTŐMÉRNÖKI KÉMIA</w:t>
      </w:r>
    </w:p>
    <w:p w14:paraId="15F31281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Azonosító (tantárgykód)</w:t>
      </w:r>
    </w:p>
    <w:p w14:paraId="29199F14" w14:textId="77777777" w:rsidR="00C338AF" w:rsidRDefault="00C8189C">
      <w:r>
        <w:rPr>
          <w:b/>
        </w:rPr>
        <w:t>BMEEO</w:t>
      </w:r>
      <w:r w:rsidR="00FD668B">
        <w:rPr>
          <w:b/>
        </w:rPr>
        <w:t>E</w:t>
      </w:r>
      <w:r w:rsidR="00870A10">
        <w:rPr>
          <w:b/>
        </w:rPr>
        <w:t>MAT41</w:t>
      </w:r>
    </w:p>
    <w:p w14:paraId="56F88F4A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A tantárgy jellege</w:t>
      </w:r>
    </w:p>
    <w:p w14:paraId="189DFF99" w14:textId="77777777" w:rsidR="00C338AF" w:rsidRDefault="00C8189C">
      <w:proofErr w:type="gramStart"/>
      <w:r>
        <w:t>kontaktórás</w:t>
      </w:r>
      <w:proofErr w:type="gramEnd"/>
      <w:r>
        <w:t xml:space="preserve"> tanegység</w:t>
      </w:r>
    </w:p>
    <w:p w14:paraId="006351C6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Óraszámok </w:t>
      </w:r>
    </w:p>
    <w:tbl>
      <w:tblPr>
        <w:tblStyle w:val="Rcsostblzat"/>
        <w:tblW w:w="1019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338AF" w14:paraId="1242C3A5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4CD73" w14:textId="77777777" w:rsidR="00C338AF" w:rsidRDefault="00C8189C">
            <w:pPr>
              <w:spacing w:after="0"/>
            </w:pPr>
            <w:r>
              <w:t>típus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AC1A5" w14:textId="77777777" w:rsidR="00C338AF" w:rsidRDefault="00C8189C" w:rsidP="00C8189C">
            <w:pPr>
              <w:spacing w:after="0"/>
              <w:jc w:val="center"/>
            </w:pPr>
            <w:r>
              <w:t>óraszám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3AB64" w14:textId="77777777" w:rsidR="00C338AF" w:rsidRDefault="00C338AF">
            <w:pPr>
              <w:spacing w:after="0"/>
              <w:jc w:val="center"/>
            </w:pPr>
          </w:p>
        </w:tc>
      </w:tr>
      <w:tr w:rsidR="00C338AF" w14:paraId="1F36ACE6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839C7" w14:textId="77777777" w:rsidR="00C338AF" w:rsidRDefault="00C8189C">
            <w:pPr>
              <w:spacing w:after="0"/>
            </w:pPr>
            <w:r>
              <w:t>előadás (elmélet)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D60E9" w14:textId="77777777" w:rsidR="00C338AF" w:rsidRDefault="00C8189C">
            <w:pPr>
              <w:spacing w:after="0"/>
              <w:jc w:val="center"/>
            </w:pPr>
            <w:r>
              <w:t>2/hét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B876A" w14:textId="77777777" w:rsidR="00C338AF" w:rsidRDefault="00C338AF">
            <w:pPr>
              <w:spacing w:after="0"/>
              <w:jc w:val="center"/>
            </w:pPr>
          </w:p>
        </w:tc>
      </w:tr>
    </w:tbl>
    <w:p w14:paraId="0F93C0A9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Tanulmányi teljesítményértékelés (minőségi értékelés) típusa</w:t>
      </w:r>
    </w:p>
    <w:p w14:paraId="3252C35A" w14:textId="77777777" w:rsidR="00C338AF" w:rsidRDefault="00C8189C">
      <w:proofErr w:type="gramStart"/>
      <w:r>
        <w:t>félévközi</w:t>
      </w:r>
      <w:proofErr w:type="gramEnd"/>
      <w:r>
        <w:t xml:space="preserve"> érdemjegy </w:t>
      </w:r>
    </w:p>
    <w:p w14:paraId="2C1D10C3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Kreditszám </w:t>
      </w:r>
    </w:p>
    <w:p w14:paraId="7218E41A" w14:textId="77777777" w:rsidR="00C338AF" w:rsidRDefault="00870A10">
      <w:r>
        <w:t>2</w:t>
      </w:r>
    </w:p>
    <w:p w14:paraId="3FF39C6D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Tantárgyfelelős</w:t>
      </w:r>
    </w:p>
    <w:p w14:paraId="7FC4D97C" w14:textId="77777777" w:rsidR="00FD668B" w:rsidRDefault="00C8189C">
      <w:r>
        <w:tab/>
      </w:r>
      <w:proofErr w:type="gramStart"/>
      <w:r>
        <w:t>neve</w:t>
      </w:r>
      <w:proofErr w:type="gramEnd"/>
      <w:r>
        <w:t>:</w:t>
      </w:r>
      <w:r>
        <w:tab/>
      </w:r>
      <w:r>
        <w:tab/>
      </w:r>
      <w:r>
        <w:tab/>
        <w:t xml:space="preserve">Dr. </w:t>
      </w:r>
      <w:proofErr w:type="spellStart"/>
      <w:r w:rsidR="00870A10">
        <w:t>Kopecskó</w:t>
      </w:r>
      <w:proofErr w:type="spellEnd"/>
      <w:r w:rsidR="00870A10">
        <w:t xml:space="preserve"> Katalin</w:t>
      </w:r>
    </w:p>
    <w:p w14:paraId="3DD86CB9" w14:textId="77777777" w:rsidR="00C338AF" w:rsidRDefault="00C8189C">
      <w:r>
        <w:tab/>
      </w:r>
      <w:proofErr w:type="gramStart"/>
      <w:r>
        <w:t>beosztása</w:t>
      </w:r>
      <w:proofErr w:type="gramEnd"/>
      <w:r>
        <w:t>:</w:t>
      </w:r>
      <w:r>
        <w:tab/>
      </w:r>
      <w:r>
        <w:tab/>
        <w:t>egyetemi docens</w:t>
      </w:r>
    </w:p>
    <w:p w14:paraId="32CFC6A8" w14:textId="77777777" w:rsidR="00C338AF" w:rsidRDefault="00C8189C">
      <w:r>
        <w:tab/>
      </w:r>
      <w:proofErr w:type="gramStart"/>
      <w:r>
        <w:t>elérhetősége</w:t>
      </w:r>
      <w:proofErr w:type="gramEnd"/>
      <w:r>
        <w:t>:</w:t>
      </w:r>
      <w:r>
        <w:tab/>
      </w:r>
      <w:hyperlink r:id="rId7" w:history="1">
        <w:r w:rsidR="00870A10" w:rsidRPr="00B234DA">
          <w:rPr>
            <w:rStyle w:val="Hiperhivatkozs"/>
          </w:rPr>
          <w:t>kopecsko.katalin@epito.bme.hu</w:t>
        </w:r>
      </w:hyperlink>
      <w:r>
        <w:t xml:space="preserve"> </w:t>
      </w:r>
    </w:p>
    <w:p w14:paraId="6804DF83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Tantárgyat gondozó oktatási szervezeti egység</w:t>
      </w:r>
    </w:p>
    <w:p w14:paraId="1DFFA58B" w14:textId="77777777" w:rsidR="00C338AF" w:rsidRDefault="00870A10">
      <w:pPr>
        <w:jc w:val="left"/>
      </w:pPr>
      <w:r>
        <w:t>Építőmérnöki Kar Építőanyagok és Magasépítés Tanszék</w:t>
      </w:r>
      <w:r w:rsidR="00C8189C">
        <w:t xml:space="preserve"> (www.epito.bme.hu/</w:t>
      </w:r>
      <w:r w:rsidRPr="00870A10">
        <w:t xml:space="preserve"> </w:t>
      </w:r>
      <w:proofErr w:type="spellStart"/>
      <w:r w:rsidRPr="00870A10">
        <w:t>epitoanyagok-es-magasepites-tanszek</w:t>
      </w:r>
      <w:proofErr w:type="spellEnd"/>
      <w:r w:rsidR="00C8189C">
        <w:t>)</w:t>
      </w:r>
    </w:p>
    <w:p w14:paraId="737E901F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A tantárgy weblapja </w:t>
      </w:r>
    </w:p>
    <w:p w14:paraId="596BF22A" w14:textId="77777777" w:rsidR="00C338AF" w:rsidRDefault="00300289">
      <w:hyperlink r:id="rId8" w:history="1">
        <w:r w:rsidR="00FD668B" w:rsidRPr="007304D6">
          <w:rPr>
            <w:rStyle w:val="Hiperhivatkozs"/>
          </w:rPr>
          <w:t>www.epito.bme.hu/BMEEOEM</w:t>
        </w:r>
      </w:hyperlink>
      <w:r w:rsidR="00E75218">
        <w:rPr>
          <w:rStyle w:val="Hiperhivatkozs"/>
        </w:rPr>
        <w:t>AT41</w:t>
      </w:r>
      <w:r w:rsidR="00C8189C">
        <w:t xml:space="preserve"> </w:t>
      </w:r>
    </w:p>
    <w:p w14:paraId="1D362DAC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A tantárgy oktatásának nyelve </w:t>
      </w:r>
    </w:p>
    <w:p w14:paraId="4282CEFD" w14:textId="77777777" w:rsidR="00C338AF" w:rsidRDefault="00C8189C">
      <w:proofErr w:type="gramStart"/>
      <w:r>
        <w:t>magyar</w:t>
      </w:r>
      <w:proofErr w:type="gramEnd"/>
      <w:r>
        <w:t xml:space="preserve"> és angol </w:t>
      </w:r>
    </w:p>
    <w:p w14:paraId="2F4B9FE5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A tantárgy tantervi szerepe </w:t>
      </w:r>
    </w:p>
    <w:p w14:paraId="0341E1D2" w14:textId="77777777" w:rsidR="004E3446" w:rsidRDefault="004E3446" w:rsidP="004E3446">
      <w:r>
        <w:t xml:space="preserve">Építőmérnöki </w:t>
      </w:r>
      <w:r w:rsidR="00E75218">
        <w:t>alap</w:t>
      </w:r>
      <w:r>
        <w:t>szakon kötelező tárgy</w:t>
      </w:r>
    </w:p>
    <w:p w14:paraId="1180EFA9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Közvetlen előkövetelmények </w:t>
      </w:r>
    </w:p>
    <w:p w14:paraId="1A76ECFB" w14:textId="77777777" w:rsidR="00E63630" w:rsidRDefault="00E63630">
      <w:proofErr w:type="gramStart"/>
      <w:r>
        <w:t>nincs</w:t>
      </w:r>
      <w:proofErr w:type="gramEnd"/>
    </w:p>
    <w:p w14:paraId="5F6E27B5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A tantárgyleírás érvényessége</w:t>
      </w:r>
    </w:p>
    <w:p w14:paraId="1FF63262" w14:textId="77777777" w:rsidR="00C338AF" w:rsidRDefault="00C8189C">
      <w:r>
        <w:t>2017. szeptember 1-től.</w:t>
      </w:r>
    </w:p>
    <w:p w14:paraId="05B1996A" w14:textId="77777777" w:rsidR="00D63C32" w:rsidRDefault="00D63C32"/>
    <w:p w14:paraId="42F79518" w14:textId="77777777" w:rsidR="00C338AF" w:rsidRDefault="00C8189C">
      <w:pPr>
        <w:pStyle w:val="Cmsor1"/>
        <w:numPr>
          <w:ilvl w:val="0"/>
          <w:numId w:val="2"/>
        </w:numPr>
        <w:shd w:val="clear" w:color="auto" w:fill="D9D9D9"/>
      </w:pPr>
      <w:r>
        <w:lastRenderedPageBreak/>
        <w:t xml:space="preserve">Célkitűzések és tanulási eredmények </w:t>
      </w:r>
    </w:p>
    <w:p w14:paraId="2F1F9C1A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Célkitűzések </w:t>
      </w:r>
    </w:p>
    <w:p w14:paraId="6AB457E0" w14:textId="69EE7CA2" w:rsidR="00E47C1F" w:rsidRDefault="00E47C1F" w:rsidP="00E47C1F">
      <w:r>
        <w:t xml:space="preserve">A féléves munka során a hallgatók ismereteket szereznek az alábbi témakörökben: </w:t>
      </w:r>
      <w:r w:rsidR="00E63630" w:rsidRPr="00E63630">
        <w:t>Az atomok szerkezete, elektronhéj felépítése, a molekulák szerkezete, kémiai kötéstípusok. Gázok és foly</w:t>
      </w:r>
      <w:r w:rsidR="00E63630" w:rsidRPr="00E63630">
        <w:t>a</w:t>
      </w:r>
      <w:r w:rsidR="00E63630" w:rsidRPr="00E63630">
        <w:t>dékok általános tulajdonságai. Kristályos és nem kristályos (amorf és üvegszerű) szilárd any</w:t>
      </w:r>
      <w:r w:rsidR="00E63630" w:rsidRPr="00E63630">
        <w:t>a</w:t>
      </w:r>
      <w:r w:rsidR="00E63630" w:rsidRPr="00E63630">
        <w:t>gok felépítése, tulajdonságaik. Makromolekulás anyagok. Homogén és heterogén anyagi ren</w:t>
      </w:r>
      <w:r w:rsidR="00E63630" w:rsidRPr="00E63630">
        <w:t>d</w:t>
      </w:r>
      <w:r w:rsidR="00E63630" w:rsidRPr="00E63630">
        <w:t>szerek csoportosítása, jellemzőik. Heterogén rendszerek egyensúlyi viszonyai. Határfelületi j</w:t>
      </w:r>
      <w:r w:rsidR="00E63630" w:rsidRPr="00E63630">
        <w:t>e</w:t>
      </w:r>
      <w:r w:rsidR="00E63630" w:rsidRPr="00E63630">
        <w:t xml:space="preserve">lenségek. Kémiai reakciók típusai és sebessége. Kémiai egyensúlyok. Savak, bázisok és sók, pH. Sók hidrolízise. Elektrokémia. </w:t>
      </w:r>
      <w:proofErr w:type="spellStart"/>
      <w:r w:rsidR="00E63630" w:rsidRPr="00E63630">
        <w:t>Redoxifolyamatok</w:t>
      </w:r>
      <w:proofErr w:type="spellEnd"/>
      <w:r w:rsidR="00E63630" w:rsidRPr="00E63630">
        <w:t xml:space="preserve">, </w:t>
      </w:r>
      <w:proofErr w:type="spellStart"/>
      <w:r w:rsidR="00E63630" w:rsidRPr="00E63630">
        <w:t>redoxipotenciálok</w:t>
      </w:r>
      <w:proofErr w:type="spellEnd"/>
      <w:r w:rsidR="00E63630" w:rsidRPr="00E63630">
        <w:t>. Fémek korróziója. Épít</w:t>
      </w:r>
      <w:r w:rsidR="00E63630" w:rsidRPr="00E63630">
        <w:t>ő</w:t>
      </w:r>
      <w:r w:rsidR="00E63630" w:rsidRPr="00E63630">
        <w:t>ipari kötőanyagok. Szerkezeti anyagok kémiája (cement, mész, gipsz, kerámiák, fa, fémek és polimerek).</w:t>
      </w:r>
      <w:r w:rsidR="00E63630">
        <w:t xml:space="preserve"> </w:t>
      </w:r>
    </w:p>
    <w:p w14:paraId="37EB8C82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bookmarkStart w:id="1" w:name="_Ref448730858"/>
      <w:bookmarkEnd w:id="1"/>
      <w:r>
        <w:t xml:space="preserve">Tanulási eredmények </w:t>
      </w:r>
    </w:p>
    <w:p w14:paraId="627A3782" w14:textId="77777777" w:rsidR="00C338AF" w:rsidRPr="0012591E" w:rsidRDefault="00C8189C">
      <w:r w:rsidRPr="0012591E">
        <w:t>A tantárgy sikeres teljesítés</w:t>
      </w:r>
      <w:r w:rsidR="00235435">
        <w:t>e után a hallgató:</w:t>
      </w:r>
    </w:p>
    <w:p w14:paraId="05B05FBB" w14:textId="77777777" w:rsidR="00C338AF" w:rsidRDefault="00C8189C">
      <w:pPr>
        <w:pStyle w:val="Listaszerbekezds"/>
        <w:numPr>
          <w:ilvl w:val="0"/>
          <w:numId w:val="5"/>
        </w:numPr>
        <w:rPr>
          <w:sz w:val="22"/>
        </w:rPr>
      </w:pPr>
      <w:r>
        <w:rPr>
          <w:sz w:val="22"/>
        </w:rPr>
        <w:t>Tudás</w:t>
      </w:r>
    </w:p>
    <w:p w14:paraId="5A5532D1" w14:textId="044AE003" w:rsidR="00C338AF" w:rsidRDefault="00C8189C">
      <w:pPr>
        <w:pStyle w:val="Listaszerbekezds"/>
        <w:numPr>
          <w:ilvl w:val="1"/>
          <w:numId w:val="6"/>
        </w:numPr>
        <w:rPr>
          <w:sz w:val="22"/>
        </w:rPr>
      </w:pPr>
      <w:r>
        <w:rPr>
          <w:sz w:val="22"/>
        </w:rPr>
        <w:t>ismeri a</w:t>
      </w:r>
      <w:r w:rsidR="003D1D8F">
        <w:rPr>
          <w:sz w:val="22"/>
        </w:rPr>
        <w:t>z általános kémia</w:t>
      </w:r>
      <w:r>
        <w:rPr>
          <w:sz w:val="22"/>
        </w:rPr>
        <w:t xml:space="preserve"> általánosan használt fogalomrendszerét,</w:t>
      </w:r>
    </w:p>
    <w:p w14:paraId="118B6A60" w14:textId="263BF6EE" w:rsidR="00C338AF" w:rsidRDefault="00C8189C">
      <w:pPr>
        <w:pStyle w:val="Listaszerbekezds"/>
        <w:numPr>
          <w:ilvl w:val="1"/>
          <w:numId w:val="6"/>
        </w:numPr>
        <w:rPr>
          <w:sz w:val="22"/>
        </w:rPr>
      </w:pPr>
      <w:r>
        <w:rPr>
          <w:sz w:val="22"/>
        </w:rPr>
        <w:t xml:space="preserve">ismeri a </w:t>
      </w:r>
      <w:r w:rsidR="003D1D8F">
        <w:rPr>
          <w:sz w:val="22"/>
        </w:rPr>
        <w:t>kémia legfontosabb törvényszerűségeit</w:t>
      </w:r>
      <w:r>
        <w:rPr>
          <w:sz w:val="22"/>
        </w:rPr>
        <w:t>,</w:t>
      </w:r>
    </w:p>
    <w:p w14:paraId="2C7C8E50" w14:textId="77777777" w:rsidR="00C338AF" w:rsidRDefault="00B46736">
      <w:pPr>
        <w:pStyle w:val="Listaszerbekezds"/>
        <w:numPr>
          <w:ilvl w:val="1"/>
          <w:numId w:val="6"/>
        </w:numPr>
        <w:rPr>
          <w:sz w:val="22"/>
        </w:rPr>
      </w:pPr>
      <w:r>
        <w:rPr>
          <w:sz w:val="22"/>
        </w:rPr>
        <w:t>érti</w:t>
      </w:r>
      <w:r w:rsidR="007B4C9E">
        <w:rPr>
          <w:sz w:val="22"/>
        </w:rPr>
        <w:t xml:space="preserve"> </w:t>
      </w:r>
      <w:r w:rsidR="00C8189C">
        <w:rPr>
          <w:sz w:val="22"/>
        </w:rPr>
        <w:t>az állapotjelzők közötti főbb függvénykapcsolatokat,</w:t>
      </w:r>
    </w:p>
    <w:p w14:paraId="416C57B2" w14:textId="0172E7A0" w:rsidR="00C338AF" w:rsidRDefault="00B46736">
      <w:pPr>
        <w:pStyle w:val="Listaszerbekezds"/>
        <w:numPr>
          <w:ilvl w:val="1"/>
          <w:numId w:val="6"/>
        </w:numPr>
        <w:rPr>
          <w:sz w:val="22"/>
        </w:rPr>
      </w:pPr>
      <w:r>
        <w:rPr>
          <w:sz w:val="22"/>
        </w:rPr>
        <w:t>érti</w:t>
      </w:r>
      <w:r w:rsidR="003D1D8F">
        <w:rPr>
          <w:sz w:val="22"/>
        </w:rPr>
        <w:t xml:space="preserve"> a makroszkopikus anyagtulajdonságok kialakulásának kémiai magyarázatát.</w:t>
      </w:r>
      <w:r w:rsidR="00C8189C">
        <w:rPr>
          <w:sz w:val="22"/>
        </w:rPr>
        <w:t xml:space="preserve"> </w:t>
      </w:r>
    </w:p>
    <w:p w14:paraId="746D3030" w14:textId="77777777" w:rsidR="00C338AF" w:rsidRDefault="00C8189C">
      <w:pPr>
        <w:pStyle w:val="Listaszerbekezds"/>
        <w:numPr>
          <w:ilvl w:val="0"/>
          <w:numId w:val="5"/>
        </w:numPr>
        <w:rPr>
          <w:sz w:val="22"/>
        </w:rPr>
      </w:pPr>
      <w:r>
        <w:rPr>
          <w:sz w:val="22"/>
        </w:rPr>
        <w:t>Képesség</w:t>
      </w:r>
    </w:p>
    <w:p w14:paraId="1BDE8A31" w14:textId="77777777" w:rsidR="00C338AF" w:rsidRDefault="00C8189C">
      <w:pPr>
        <w:pStyle w:val="Listaszerbekezds"/>
        <w:numPr>
          <w:ilvl w:val="1"/>
          <w:numId w:val="7"/>
        </w:numPr>
        <w:rPr>
          <w:sz w:val="22"/>
        </w:rPr>
      </w:pPr>
      <w:r>
        <w:rPr>
          <w:sz w:val="22"/>
        </w:rPr>
        <w:t xml:space="preserve">képes a </w:t>
      </w:r>
      <w:r w:rsidR="00130558">
        <w:rPr>
          <w:sz w:val="22"/>
        </w:rPr>
        <w:t>reális anyagok viselkedésének kémiai magyarázatára</w:t>
      </w:r>
      <w:r>
        <w:rPr>
          <w:sz w:val="22"/>
        </w:rPr>
        <w:t>,</w:t>
      </w:r>
    </w:p>
    <w:p w14:paraId="43682AE1" w14:textId="77777777" w:rsidR="00C338AF" w:rsidRDefault="00C8189C">
      <w:pPr>
        <w:pStyle w:val="Listaszerbekezds"/>
        <w:numPr>
          <w:ilvl w:val="1"/>
          <w:numId w:val="7"/>
        </w:numPr>
        <w:rPr>
          <w:sz w:val="22"/>
        </w:rPr>
      </w:pPr>
      <w:r>
        <w:rPr>
          <w:sz w:val="22"/>
        </w:rPr>
        <w:t xml:space="preserve">képes a </w:t>
      </w:r>
      <w:r w:rsidR="00130558">
        <w:rPr>
          <w:sz w:val="22"/>
        </w:rPr>
        <w:t xml:space="preserve">kémiai </w:t>
      </w:r>
      <w:r>
        <w:rPr>
          <w:sz w:val="22"/>
        </w:rPr>
        <w:t>rendszerek és folyamatok több</w:t>
      </w:r>
      <w:r w:rsidR="00130558">
        <w:rPr>
          <w:sz w:val="22"/>
        </w:rPr>
        <w:t xml:space="preserve"> </w:t>
      </w:r>
      <w:r>
        <w:rPr>
          <w:sz w:val="22"/>
        </w:rPr>
        <w:t>szempontú analízisére,</w:t>
      </w:r>
    </w:p>
    <w:p w14:paraId="0E41D29B" w14:textId="77777777" w:rsidR="00C338AF" w:rsidRPr="007B4C9E" w:rsidRDefault="00C8189C" w:rsidP="008E41D1">
      <w:pPr>
        <w:pStyle w:val="Listaszerbekezds"/>
        <w:numPr>
          <w:ilvl w:val="0"/>
          <w:numId w:val="5"/>
        </w:numPr>
        <w:rPr>
          <w:sz w:val="22"/>
        </w:rPr>
      </w:pPr>
      <w:r w:rsidRPr="007B4C9E">
        <w:rPr>
          <w:sz w:val="22"/>
        </w:rPr>
        <w:t>Attitűd</w:t>
      </w:r>
    </w:p>
    <w:p w14:paraId="46908F80" w14:textId="77777777" w:rsidR="00C338AF" w:rsidRDefault="00C8189C">
      <w:pPr>
        <w:pStyle w:val="Listaszerbekezds"/>
        <w:numPr>
          <w:ilvl w:val="1"/>
          <w:numId w:val="8"/>
        </w:numPr>
        <w:rPr>
          <w:sz w:val="22"/>
        </w:rPr>
      </w:pPr>
      <w:r>
        <w:rPr>
          <w:sz w:val="22"/>
        </w:rPr>
        <w:t>folyamatos ismeretszerzéssel bővíti tudását,</w:t>
      </w:r>
    </w:p>
    <w:p w14:paraId="32DDEADB" w14:textId="77777777" w:rsidR="00C338AF" w:rsidRDefault="00C8189C">
      <w:pPr>
        <w:pStyle w:val="Listaszerbekezds"/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törekszik a </w:t>
      </w:r>
      <w:r w:rsidR="00130558">
        <w:rPr>
          <w:sz w:val="22"/>
        </w:rPr>
        <w:t>kémiai</w:t>
      </w:r>
      <w:r>
        <w:rPr>
          <w:sz w:val="22"/>
        </w:rPr>
        <w:t xml:space="preserve"> problémamegoldáshoz szükséges eszközrendszer megismerésére és rutinsz</w:t>
      </w:r>
      <w:r>
        <w:rPr>
          <w:sz w:val="22"/>
        </w:rPr>
        <w:t>e</w:t>
      </w:r>
      <w:r>
        <w:rPr>
          <w:sz w:val="22"/>
        </w:rPr>
        <w:t>rű használatára,</w:t>
      </w:r>
    </w:p>
    <w:p w14:paraId="0687A6BC" w14:textId="77777777" w:rsidR="00C338AF" w:rsidRDefault="00C8189C">
      <w:pPr>
        <w:pStyle w:val="Listaszerbekezds"/>
        <w:numPr>
          <w:ilvl w:val="1"/>
          <w:numId w:val="8"/>
        </w:numPr>
        <w:rPr>
          <w:sz w:val="22"/>
        </w:rPr>
      </w:pPr>
      <w:r>
        <w:rPr>
          <w:sz w:val="22"/>
        </w:rPr>
        <w:t>törekszik a pontos és hibamentes feladatmegoldásra,</w:t>
      </w:r>
    </w:p>
    <w:p w14:paraId="1D141F3D" w14:textId="77777777" w:rsidR="00C338AF" w:rsidRDefault="00C8189C">
      <w:pPr>
        <w:pStyle w:val="Listaszerbekezds"/>
        <w:numPr>
          <w:ilvl w:val="0"/>
          <w:numId w:val="5"/>
        </w:numPr>
        <w:rPr>
          <w:sz w:val="22"/>
        </w:rPr>
      </w:pPr>
      <w:r>
        <w:rPr>
          <w:sz w:val="22"/>
        </w:rPr>
        <w:t>Önállóság és felelősség</w:t>
      </w:r>
    </w:p>
    <w:p w14:paraId="27FF2FB1" w14:textId="77777777" w:rsidR="00C338AF" w:rsidRDefault="00C8189C">
      <w:pPr>
        <w:pStyle w:val="Listaszerbekezds"/>
        <w:numPr>
          <w:ilvl w:val="1"/>
          <w:numId w:val="9"/>
        </w:numPr>
        <w:rPr>
          <w:sz w:val="22"/>
        </w:rPr>
      </w:pPr>
      <w:r>
        <w:rPr>
          <w:sz w:val="22"/>
        </w:rPr>
        <w:t>önállóan végzi a feladatok és problémák végiggondolását és adott források alapján történő me</w:t>
      </w:r>
      <w:r>
        <w:rPr>
          <w:sz w:val="22"/>
        </w:rPr>
        <w:t>g</w:t>
      </w:r>
      <w:r>
        <w:rPr>
          <w:sz w:val="22"/>
        </w:rPr>
        <w:t>oldását,</w:t>
      </w:r>
    </w:p>
    <w:p w14:paraId="2DB20922" w14:textId="77777777" w:rsidR="00C338AF" w:rsidRDefault="00C8189C">
      <w:pPr>
        <w:pStyle w:val="Listaszerbekezds"/>
        <w:numPr>
          <w:ilvl w:val="1"/>
          <w:numId w:val="9"/>
        </w:numPr>
        <w:rPr>
          <w:sz w:val="22"/>
        </w:rPr>
      </w:pPr>
      <w:r>
        <w:rPr>
          <w:sz w:val="22"/>
        </w:rPr>
        <w:t>gondolkozásában a rendszerelvű megközelítést alkalmazza.</w:t>
      </w:r>
    </w:p>
    <w:p w14:paraId="221521C3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Oktatási módszertan </w:t>
      </w:r>
    </w:p>
    <w:p w14:paraId="1FBD0976" w14:textId="45D76A94" w:rsidR="00E47C1F" w:rsidRDefault="00E47C1F">
      <w:r w:rsidRPr="00E47C1F">
        <w:t>Előadások</w:t>
      </w:r>
      <w:r w:rsidR="005B73B8">
        <w:t xml:space="preserve"> </w:t>
      </w:r>
    </w:p>
    <w:p w14:paraId="0BF2C629" w14:textId="77777777" w:rsidR="002E5EC7" w:rsidRDefault="002E5EC7"/>
    <w:p w14:paraId="3220C29E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Részletes tárgyprogram</w:t>
      </w:r>
    </w:p>
    <w:tbl>
      <w:tblPr>
        <w:tblW w:w="89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8530"/>
      </w:tblGrid>
      <w:tr w:rsidR="00C338AF" w14:paraId="74038FDA" w14:textId="77777777" w:rsidTr="002E5EC7">
        <w:tc>
          <w:tcPr>
            <w:tcW w:w="451" w:type="dxa"/>
            <w:shd w:val="clear" w:color="auto" w:fill="auto"/>
            <w:vAlign w:val="center"/>
          </w:tcPr>
          <w:p w14:paraId="2BCA792C" w14:textId="77777777" w:rsidR="00C338AF" w:rsidRDefault="00C8189C">
            <w:pPr>
              <w:pStyle w:val="TableHeading"/>
            </w:pPr>
            <w:r>
              <w:t>hét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11974A21" w14:textId="77777777" w:rsidR="00C338AF" w:rsidRDefault="00C8189C">
            <w:pPr>
              <w:pStyle w:val="TableHeading"/>
            </w:pPr>
            <w:r>
              <w:t xml:space="preserve">Előadások és gyakorlatok témaköre </w:t>
            </w:r>
          </w:p>
        </w:tc>
      </w:tr>
      <w:tr w:rsidR="00C338AF" w14:paraId="0891AF61" w14:textId="77777777" w:rsidTr="002E5EC7">
        <w:tc>
          <w:tcPr>
            <w:tcW w:w="451" w:type="dxa"/>
            <w:shd w:val="clear" w:color="auto" w:fill="auto"/>
            <w:vAlign w:val="center"/>
          </w:tcPr>
          <w:p w14:paraId="47B2A36B" w14:textId="77777777" w:rsidR="00C338AF" w:rsidRDefault="00C8189C">
            <w:pPr>
              <w:pStyle w:val="TableContents"/>
            </w:pPr>
            <w:r>
              <w:t>1.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2B341837" w14:textId="74207E96" w:rsidR="00C338AF" w:rsidRDefault="005F51F3">
            <w:pPr>
              <w:pStyle w:val="TableContents"/>
            </w:pPr>
            <w:r w:rsidRPr="005F51F3">
              <w:t>Miért kell kémiát tanulni? Az atomok felépítése és az abból adódó tulajdons</w:t>
            </w:r>
            <w:r w:rsidRPr="005F51F3">
              <w:t>á</w:t>
            </w:r>
            <w:r w:rsidRPr="005F51F3">
              <w:t xml:space="preserve">gok. Periódusos rendszer. Kötéstípusok I. (ionos, kovalens, </w:t>
            </w:r>
            <w:proofErr w:type="spellStart"/>
            <w:r w:rsidRPr="005F51F3">
              <w:t>datív</w:t>
            </w:r>
            <w:proofErr w:type="spellEnd"/>
            <w:r w:rsidRPr="005F51F3">
              <w:t>, fémes).</w:t>
            </w:r>
          </w:p>
        </w:tc>
      </w:tr>
      <w:tr w:rsidR="00C338AF" w14:paraId="7964B2E7" w14:textId="77777777" w:rsidTr="002E5EC7">
        <w:tc>
          <w:tcPr>
            <w:tcW w:w="451" w:type="dxa"/>
            <w:shd w:val="clear" w:color="auto" w:fill="auto"/>
            <w:vAlign w:val="center"/>
          </w:tcPr>
          <w:p w14:paraId="5801D4F5" w14:textId="77777777" w:rsidR="00C338AF" w:rsidRDefault="00C8189C">
            <w:pPr>
              <w:pStyle w:val="TableContents"/>
            </w:pPr>
            <w:r>
              <w:t>2.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5953A819" w14:textId="1DA543FE" w:rsidR="00C338AF" w:rsidRDefault="005F51F3">
            <w:pPr>
              <w:pStyle w:val="TableContents"/>
            </w:pPr>
            <w:r w:rsidRPr="005F51F3">
              <w:t>Kötéstípusok II. (hidrogén-kötés, van der Waals féle kötés). Gáz- és folyadé</w:t>
            </w:r>
            <w:r w:rsidRPr="005F51F3">
              <w:t>k</w:t>
            </w:r>
            <w:r w:rsidRPr="005F51F3">
              <w:t>rendszerek tulajdonságai (kritikus hőmérséklet, közepes szabad úthossz, diff</w:t>
            </w:r>
            <w:r w:rsidRPr="005F51F3">
              <w:t>ú</w:t>
            </w:r>
            <w:r w:rsidRPr="005F51F3">
              <w:t>zió).</w:t>
            </w:r>
          </w:p>
        </w:tc>
      </w:tr>
      <w:tr w:rsidR="00C338AF" w14:paraId="7F115FDB" w14:textId="77777777" w:rsidTr="002E5EC7">
        <w:tc>
          <w:tcPr>
            <w:tcW w:w="451" w:type="dxa"/>
            <w:shd w:val="clear" w:color="auto" w:fill="auto"/>
            <w:vAlign w:val="center"/>
          </w:tcPr>
          <w:p w14:paraId="2730305F" w14:textId="77777777" w:rsidR="00C338AF" w:rsidRDefault="00C8189C">
            <w:pPr>
              <w:pStyle w:val="TableContents"/>
            </w:pPr>
            <w:r>
              <w:t>3.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1CF1B09E" w14:textId="62E0ADD8" w:rsidR="00C338AF" w:rsidRDefault="005F51F3" w:rsidP="00E628A9">
            <w:pPr>
              <w:pStyle w:val="TableContents"/>
            </w:pPr>
            <w:r w:rsidRPr="005F51F3">
              <w:t xml:space="preserve">Folyadékrendszerek tulajdonságai (viszkozitás, szerkezeti viszkozitás, </w:t>
            </w:r>
            <w:proofErr w:type="spellStart"/>
            <w:r w:rsidRPr="005F51F3">
              <w:t>dilatancia</w:t>
            </w:r>
            <w:proofErr w:type="spellEnd"/>
            <w:r w:rsidRPr="005F51F3">
              <w:t xml:space="preserve">, </w:t>
            </w:r>
            <w:proofErr w:type="spellStart"/>
            <w:r w:rsidRPr="005F51F3">
              <w:t>Bingham</w:t>
            </w:r>
            <w:proofErr w:type="spellEnd"/>
            <w:r w:rsidRPr="005F51F3">
              <w:t xml:space="preserve"> testek, </w:t>
            </w:r>
            <w:proofErr w:type="spellStart"/>
            <w:r w:rsidRPr="005F51F3">
              <w:t>tixotrópia</w:t>
            </w:r>
            <w:proofErr w:type="spellEnd"/>
            <w:r w:rsidRPr="005F51F3">
              <w:t>). Szilárd testek felépítése és tulajdonságai</w:t>
            </w:r>
            <w:r w:rsidR="00E628A9">
              <w:t xml:space="preserve"> 1</w:t>
            </w:r>
            <w:proofErr w:type="gramStart"/>
            <w:r w:rsidR="00E628A9">
              <w:t>.</w:t>
            </w:r>
            <w:r>
              <w:t>:</w:t>
            </w:r>
            <w:proofErr w:type="gramEnd"/>
            <w:r w:rsidRPr="005F51F3">
              <w:t xml:space="preserve"> Kristályos anyagok rácstípusai.</w:t>
            </w:r>
          </w:p>
        </w:tc>
      </w:tr>
      <w:tr w:rsidR="00C338AF" w14:paraId="14F73846" w14:textId="77777777" w:rsidTr="002E5EC7">
        <w:tc>
          <w:tcPr>
            <w:tcW w:w="451" w:type="dxa"/>
            <w:shd w:val="clear" w:color="auto" w:fill="auto"/>
            <w:vAlign w:val="center"/>
          </w:tcPr>
          <w:p w14:paraId="5897592E" w14:textId="77777777" w:rsidR="00C338AF" w:rsidRDefault="00C8189C">
            <w:pPr>
              <w:pStyle w:val="TableContents"/>
            </w:pPr>
            <w:r>
              <w:t>4.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41452708" w14:textId="607A204B" w:rsidR="00C338AF" w:rsidRDefault="005F51F3" w:rsidP="00E628A9">
            <w:pPr>
              <w:pStyle w:val="TableContents"/>
            </w:pPr>
            <w:r w:rsidRPr="005F51F3">
              <w:t>Reális kristályok, kristályrács hibák, kristályok növekedése és a növekedést b</w:t>
            </w:r>
            <w:r w:rsidRPr="005F51F3">
              <w:t>e</w:t>
            </w:r>
            <w:r w:rsidRPr="005F51F3">
              <w:t>folyásoló tényezők. Szilárd testek felépítése és tulajdonságai 2</w:t>
            </w:r>
            <w:proofErr w:type="gramStart"/>
            <w:r w:rsidRPr="005F51F3">
              <w:t>.</w:t>
            </w:r>
            <w:r w:rsidR="00E628A9">
              <w:t>:</w:t>
            </w:r>
            <w:proofErr w:type="gramEnd"/>
            <w:r w:rsidRPr="005F51F3">
              <w:t xml:space="preserve"> Üvegszerű anyagok szerkezete és tulajdonságai. </w:t>
            </w:r>
          </w:p>
        </w:tc>
      </w:tr>
      <w:tr w:rsidR="00C338AF" w14:paraId="6011BBC0" w14:textId="77777777" w:rsidTr="002E5EC7">
        <w:tc>
          <w:tcPr>
            <w:tcW w:w="451" w:type="dxa"/>
            <w:shd w:val="clear" w:color="auto" w:fill="auto"/>
            <w:vAlign w:val="center"/>
          </w:tcPr>
          <w:p w14:paraId="6B368B27" w14:textId="77777777" w:rsidR="00C338AF" w:rsidRDefault="00C8189C">
            <w:pPr>
              <w:pStyle w:val="TableContents"/>
            </w:pPr>
            <w:r>
              <w:lastRenderedPageBreak/>
              <w:t>5.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26853A13" w14:textId="17771276" w:rsidR="00C338AF" w:rsidRDefault="005F51F3">
            <w:pPr>
              <w:pStyle w:val="TableContents"/>
            </w:pPr>
            <w:r w:rsidRPr="005F51F3">
              <w:t>Makromolekulás anyagok rendszere, szerkezete, tulajdonságok kémiai magy</w:t>
            </w:r>
            <w:r w:rsidRPr="005F51F3">
              <w:t>a</w:t>
            </w:r>
            <w:r w:rsidRPr="005F51F3">
              <w:t>rázata.</w:t>
            </w:r>
          </w:p>
        </w:tc>
      </w:tr>
      <w:tr w:rsidR="00C338AF" w14:paraId="1D0EEAFB" w14:textId="77777777" w:rsidTr="002E5EC7">
        <w:tc>
          <w:tcPr>
            <w:tcW w:w="451" w:type="dxa"/>
            <w:shd w:val="clear" w:color="auto" w:fill="auto"/>
            <w:vAlign w:val="center"/>
          </w:tcPr>
          <w:p w14:paraId="235C8E37" w14:textId="77777777" w:rsidR="00C338AF" w:rsidRDefault="00C8189C">
            <w:pPr>
              <w:pStyle w:val="TableContents"/>
            </w:pPr>
            <w:r>
              <w:t>6.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30C8A92D" w14:textId="0877D067" w:rsidR="00C338AF" w:rsidRDefault="005F51F3">
            <w:pPr>
              <w:pStyle w:val="TableContents"/>
            </w:pPr>
            <w:r w:rsidRPr="005F51F3">
              <w:t>Makromolekulás anyagok csoportosítása előállításuk szerint, főbb típusok és jellemzőik. Homogén anyagrendszerek jellemzői, elegyek és oldatok, az old</w:t>
            </w:r>
            <w:r w:rsidRPr="005F51F3">
              <w:t>ó</w:t>
            </w:r>
            <w:r w:rsidRPr="005F51F3">
              <w:t>dást befolyásoló tényezők, koncentráció.</w:t>
            </w:r>
          </w:p>
        </w:tc>
      </w:tr>
      <w:tr w:rsidR="00C338AF" w14:paraId="6A658C43" w14:textId="77777777" w:rsidTr="002E5EC7">
        <w:tc>
          <w:tcPr>
            <w:tcW w:w="451" w:type="dxa"/>
            <w:shd w:val="clear" w:color="auto" w:fill="auto"/>
            <w:vAlign w:val="center"/>
          </w:tcPr>
          <w:p w14:paraId="60596B89" w14:textId="77777777" w:rsidR="00C338AF" w:rsidRDefault="00C8189C">
            <w:pPr>
              <w:pStyle w:val="TableContents"/>
            </w:pPr>
            <w:r>
              <w:t>7.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617F4421" w14:textId="7782A64D" w:rsidR="00C338AF" w:rsidRDefault="005F51F3">
            <w:pPr>
              <w:pStyle w:val="TableContents"/>
            </w:pPr>
            <w:r w:rsidRPr="005F51F3">
              <w:t>Heterogén anyagrendszerek jellemzői (kolloid és durva diszperz rendszerek: aeroszolok, habok, emulziók, szuszpenziók, zárványok, ötvözetek). Fázistö</w:t>
            </w:r>
            <w:r w:rsidRPr="005F51F3">
              <w:t>r</w:t>
            </w:r>
            <w:r w:rsidRPr="005F51F3">
              <w:t>vény. Fázisdiagramok.</w:t>
            </w:r>
          </w:p>
        </w:tc>
      </w:tr>
      <w:tr w:rsidR="00C338AF" w14:paraId="253E5C67" w14:textId="77777777" w:rsidTr="002E5EC7">
        <w:tc>
          <w:tcPr>
            <w:tcW w:w="451" w:type="dxa"/>
            <w:shd w:val="clear" w:color="auto" w:fill="auto"/>
            <w:vAlign w:val="center"/>
          </w:tcPr>
          <w:p w14:paraId="54C2E438" w14:textId="77777777" w:rsidR="00C338AF" w:rsidRDefault="00C8189C">
            <w:pPr>
              <w:pStyle w:val="TableContents"/>
            </w:pPr>
            <w:r>
              <w:t>8.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53BA182D" w14:textId="4835BB81" w:rsidR="00C338AF" w:rsidRDefault="005F51F3" w:rsidP="005B73B8">
            <w:pPr>
              <w:pStyle w:val="TableContents"/>
            </w:pPr>
            <w:r w:rsidRPr="005F51F3">
              <w:t>Határfelületi jelenségek. Folyadékok felületi feszültsége. Korlátlan és korlát</w:t>
            </w:r>
            <w:r w:rsidRPr="005F51F3">
              <w:t>o</w:t>
            </w:r>
            <w:r w:rsidRPr="005F51F3">
              <w:t>zott elegyedés.</w:t>
            </w:r>
          </w:p>
        </w:tc>
      </w:tr>
      <w:tr w:rsidR="00C338AF" w14:paraId="30315D97" w14:textId="77777777" w:rsidTr="002E5EC7">
        <w:tc>
          <w:tcPr>
            <w:tcW w:w="451" w:type="dxa"/>
            <w:shd w:val="clear" w:color="auto" w:fill="auto"/>
            <w:vAlign w:val="center"/>
          </w:tcPr>
          <w:p w14:paraId="646B9E07" w14:textId="77777777" w:rsidR="00C338AF" w:rsidRDefault="00C8189C">
            <w:pPr>
              <w:pStyle w:val="TableContents"/>
            </w:pPr>
            <w:r>
              <w:t>9.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0F9A5EBE" w14:textId="1221FC73" w:rsidR="00C338AF" w:rsidRDefault="005F51F3" w:rsidP="00B46736">
            <w:pPr>
              <w:pStyle w:val="TableContents"/>
            </w:pPr>
            <w:proofErr w:type="spellStart"/>
            <w:r w:rsidRPr="005F51F3">
              <w:t>Kapilláraktív</w:t>
            </w:r>
            <w:proofErr w:type="spellEnd"/>
            <w:r w:rsidRPr="005F51F3">
              <w:t xml:space="preserve"> anyagok. Nedvesítési jelenség. Kapilláris folyadékszint emelk</w:t>
            </w:r>
            <w:r w:rsidRPr="005F51F3">
              <w:t>e</w:t>
            </w:r>
            <w:r w:rsidRPr="005F51F3">
              <w:t>dés és s</w:t>
            </w:r>
            <w:r w:rsidR="00B46736">
              <w:t>ül</w:t>
            </w:r>
            <w:r w:rsidRPr="005F51F3">
              <w:t>lyedés. Gázadszorpció. Emulziók.</w:t>
            </w:r>
          </w:p>
        </w:tc>
      </w:tr>
      <w:tr w:rsidR="00C338AF" w14:paraId="3736362F" w14:textId="77777777" w:rsidTr="002E5EC7">
        <w:tc>
          <w:tcPr>
            <w:tcW w:w="451" w:type="dxa"/>
            <w:shd w:val="clear" w:color="auto" w:fill="auto"/>
            <w:vAlign w:val="center"/>
          </w:tcPr>
          <w:p w14:paraId="70E03707" w14:textId="77777777" w:rsidR="00C338AF" w:rsidRDefault="00C8189C">
            <w:pPr>
              <w:pStyle w:val="TableContents"/>
            </w:pPr>
            <w:r>
              <w:t>10.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64AC0B31" w14:textId="3CDE7722" w:rsidR="00C338AF" w:rsidRDefault="005F51F3">
            <w:pPr>
              <w:pStyle w:val="TableContents"/>
            </w:pPr>
            <w:r w:rsidRPr="005F51F3">
              <w:t>Kémiai reakciók (a reakciók sebességét befolyásoló tényezők, főbb reakció típ</w:t>
            </w:r>
            <w:r w:rsidRPr="005F51F3">
              <w:t>u</w:t>
            </w:r>
            <w:r w:rsidRPr="005F51F3">
              <w:t>sok, katalizátorok). Aktiválási energia, exoterm és endoterm reakciók, Hess t</w:t>
            </w:r>
            <w:r w:rsidRPr="005F51F3">
              <w:t>é</w:t>
            </w:r>
            <w:r>
              <w:t xml:space="preserve">tel. </w:t>
            </w:r>
            <w:r w:rsidRPr="005F51F3">
              <w:t>Kémiai egyensúlyok, a tömeghatás törvénye.</w:t>
            </w:r>
          </w:p>
        </w:tc>
      </w:tr>
      <w:tr w:rsidR="00C338AF" w14:paraId="7B777DCE" w14:textId="77777777" w:rsidTr="002E5EC7">
        <w:tc>
          <w:tcPr>
            <w:tcW w:w="451" w:type="dxa"/>
            <w:shd w:val="clear" w:color="auto" w:fill="auto"/>
            <w:vAlign w:val="center"/>
          </w:tcPr>
          <w:p w14:paraId="35C98BAE" w14:textId="77777777" w:rsidR="00C338AF" w:rsidRDefault="00C8189C">
            <w:pPr>
              <w:pStyle w:val="TableContents"/>
            </w:pPr>
            <w:r>
              <w:t>11.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10006D8D" w14:textId="3D8D2566" w:rsidR="00C338AF" w:rsidRDefault="005F51F3">
            <w:pPr>
              <w:pStyle w:val="TableContents"/>
            </w:pPr>
            <w:r w:rsidRPr="005F51F3">
              <w:t xml:space="preserve">Elektrokémia: </w:t>
            </w:r>
            <w:proofErr w:type="spellStart"/>
            <w:r w:rsidRPr="005F51F3">
              <w:t>Redoxi</w:t>
            </w:r>
            <w:proofErr w:type="spellEnd"/>
            <w:r w:rsidRPr="005F51F3">
              <w:t xml:space="preserve"> folyamatok (galvánelemek, elektromos erő, elektródp</w:t>
            </w:r>
            <w:r w:rsidRPr="005F51F3">
              <w:t>o</w:t>
            </w:r>
            <w:r w:rsidRPr="005F51F3">
              <w:t>tenciál). Hidrogén elektród. pH mérése. Fémkorrózió (a korrózió típusai, a ko</w:t>
            </w:r>
            <w:r w:rsidRPr="005F51F3">
              <w:t>r</w:t>
            </w:r>
            <w:r w:rsidRPr="005F51F3">
              <w:t>rózió sebességét befolyásoló tényezők).</w:t>
            </w:r>
          </w:p>
        </w:tc>
      </w:tr>
      <w:tr w:rsidR="00C338AF" w14:paraId="20D97390" w14:textId="77777777" w:rsidTr="002E5EC7">
        <w:tc>
          <w:tcPr>
            <w:tcW w:w="451" w:type="dxa"/>
            <w:shd w:val="clear" w:color="auto" w:fill="auto"/>
            <w:vAlign w:val="center"/>
          </w:tcPr>
          <w:p w14:paraId="322241E5" w14:textId="77777777" w:rsidR="00C338AF" w:rsidRDefault="00C8189C">
            <w:pPr>
              <w:pStyle w:val="TableContents"/>
            </w:pPr>
            <w:r>
              <w:t>12.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6746C3FB" w14:textId="21D0F2B3" w:rsidR="00C338AF" w:rsidRDefault="005F51F3" w:rsidP="00E628A9">
            <w:pPr>
              <w:pStyle w:val="TableContents"/>
            </w:pPr>
            <w:r>
              <w:t>Kötőanyagok</w:t>
            </w:r>
            <w:r w:rsidR="00E628A9">
              <w:t xml:space="preserve"> 1</w:t>
            </w:r>
            <w:proofErr w:type="gramStart"/>
            <w:r w:rsidR="00E628A9">
              <w:t>.</w:t>
            </w:r>
            <w:r>
              <w:t>:</w:t>
            </w:r>
            <w:proofErr w:type="gramEnd"/>
            <w:r w:rsidRPr="005F51F3">
              <w:t xml:space="preserve"> Nem hidraulikus szervetlen kötőanyagok (gipsz termikus á</w:t>
            </w:r>
            <w:r w:rsidRPr="005F51F3">
              <w:t>t</w:t>
            </w:r>
            <w:r w:rsidRPr="005F51F3">
              <w:t>alakulásai, kötése, a mész előállítása, oltása, kötése, a tulajdonságait befolyásoló paraméterek). Termikus vizsgálatok.</w:t>
            </w:r>
          </w:p>
        </w:tc>
      </w:tr>
      <w:tr w:rsidR="00C338AF" w14:paraId="4AAB674E" w14:textId="77777777" w:rsidTr="002E5EC7">
        <w:tc>
          <w:tcPr>
            <w:tcW w:w="451" w:type="dxa"/>
            <w:shd w:val="clear" w:color="auto" w:fill="auto"/>
            <w:vAlign w:val="center"/>
          </w:tcPr>
          <w:p w14:paraId="51332D0F" w14:textId="77777777" w:rsidR="00C338AF" w:rsidRDefault="00C8189C">
            <w:pPr>
              <w:pStyle w:val="TableContents"/>
            </w:pPr>
            <w:r>
              <w:t>13.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335478CF" w14:textId="67FB7AFE" w:rsidR="00C338AF" w:rsidRDefault="005F51F3" w:rsidP="00E628A9">
            <w:pPr>
              <w:pStyle w:val="TableContents"/>
            </w:pPr>
            <w:r w:rsidRPr="005F51F3">
              <w:t>Kötőanyagok</w:t>
            </w:r>
            <w:r>
              <w:t xml:space="preserve"> 2</w:t>
            </w:r>
            <w:proofErr w:type="gramStart"/>
            <w:r>
              <w:t>.</w:t>
            </w:r>
            <w:r w:rsidR="00E628A9">
              <w:t>:</w:t>
            </w:r>
            <w:proofErr w:type="gramEnd"/>
            <w:r w:rsidRPr="005F51F3">
              <w:t xml:space="preserve"> Hidraulikus szervetlen kötőanyagok: szilikát- és </w:t>
            </w:r>
            <w:proofErr w:type="spellStart"/>
            <w:r w:rsidRPr="005F51F3">
              <w:t>aluminátcementek</w:t>
            </w:r>
            <w:proofErr w:type="spellEnd"/>
            <w:r w:rsidRPr="005F51F3">
              <w:t xml:space="preserve"> előállítása. A cement-gyártás során végbemenő kémiai á</w:t>
            </w:r>
            <w:r w:rsidRPr="005F51F3">
              <w:t>t</w:t>
            </w:r>
            <w:r w:rsidRPr="005F51F3">
              <w:t xml:space="preserve">alakulások. A </w:t>
            </w:r>
            <w:proofErr w:type="spellStart"/>
            <w:r w:rsidRPr="005F51F3">
              <w:t>klinkerásványok</w:t>
            </w:r>
            <w:proofErr w:type="spellEnd"/>
            <w:r w:rsidRPr="005F51F3">
              <w:t xml:space="preserve"> fő összetevői és azok jellemzői.</w:t>
            </w:r>
          </w:p>
        </w:tc>
      </w:tr>
      <w:tr w:rsidR="00C338AF" w14:paraId="212A9437" w14:textId="77777777" w:rsidTr="002E5EC7">
        <w:tc>
          <w:tcPr>
            <w:tcW w:w="451" w:type="dxa"/>
            <w:shd w:val="clear" w:color="auto" w:fill="auto"/>
            <w:vAlign w:val="center"/>
          </w:tcPr>
          <w:p w14:paraId="2CA6E777" w14:textId="77777777" w:rsidR="00C338AF" w:rsidRDefault="00C8189C">
            <w:pPr>
              <w:pStyle w:val="TableContents"/>
            </w:pPr>
            <w:r>
              <w:t>14.</w:t>
            </w:r>
          </w:p>
        </w:tc>
        <w:tc>
          <w:tcPr>
            <w:tcW w:w="8530" w:type="dxa"/>
            <w:shd w:val="clear" w:color="auto" w:fill="auto"/>
            <w:vAlign w:val="center"/>
          </w:tcPr>
          <w:p w14:paraId="1A0A88B0" w14:textId="713998CA" w:rsidR="00C338AF" w:rsidRDefault="005F51F3">
            <w:pPr>
              <w:pStyle w:val="TableContents"/>
            </w:pPr>
            <w:r w:rsidRPr="005F51F3">
              <w:t xml:space="preserve">A </w:t>
            </w:r>
            <w:proofErr w:type="spellStart"/>
            <w:r w:rsidRPr="005F51F3">
              <w:t>klinkerek</w:t>
            </w:r>
            <w:proofErr w:type="spellEnd"/>
            <w:r w:rsidRPr="005F51F3">
              <w:t xml:space="preserve"> és a cement hidratációja. Az elsődleges </w:t>
            </w:r>
            <w:proofErr w:type="spellStart"/>
            <w:r w:rsidRPr="005F51F3">
              <w:t>ettringit</w:t>
            </w:r>
            <w:proofErr w:type="spellEnd"/>
            <w:r w:rsidRPr="005F51F3">
              <w:t xml:space="preserve"> képződés szerepe. A kötési sebességet befolyásoló tényezők. </w:t>
            </w:r>
            <w:proofErr w:type="spellStart"/>
            <w:r w:rsidRPr="005F51F3">
              <w:t>Ettringit</w:t>
            </w:r>
            <w:proofErr w:type="spellEnd"/>
            <w:r w:rsidRPr="005F51F3">
              <w:t xml:space="preserve"> – </w:t>
            </w:r>
            <w:proofErr w:type="spellStart"/>
            <w:r w:rsidRPr="005F51F3">
              <w:t>monoszulfát</w:t>
            </w:r>
            <w:proofErr w:type="spellEnd"/>
            <w:r w:rsidRPr="005F51F3">
              <w:t xml:space="preserve"> átalakulás. Másodlagos </w:t>
            </w:r>
            <w:proofErr w:type="spellStart"/>
            <w:r w:rsidRPr="005F51F3">
              <w:t>ettringitképződés</w:t>
            </w:r>
            <w:proofErr w:type="spellEnd"/>
            <w:r w:rsidRPr="005F51F3">
              <w:t>.</w:t>
            </w:r>
          </w:p>
        </w:tc>
      </w:tr>
    </w:tbl>
    <w:p w14:paraId="7984D85F" w14:textId="77777777" w:rsidR="00C338AF" w:rsidRDefault="00C8189C">
      <w:pPr>
        <w:pStyle w:val="Szvegtrzs"/>
        <w:jc w:val="left"/>
      </w:pPr>
      <w:r>
        <w:rPr>
          <w:color w:val="000000"/>
        </w:rPr>
        <w:t>A félév közbeni munkaszüneti napok miatt a program csak tájékoztató jellegű, a pontos időpo</w:t>
      </w:r>
      <w:r>
        <w:rPr>
          <w:color w:val="000000"/>
        </w:rPr>
        <w:t>n</w:t>
      </w:r>
      <w:r>
        <w:rPr>
          <w:color w:val="000000"/>
        </w:rPr>
        <w:t>tokat a tárgy honlapján elérhető "Részletes féléves ütemterv" tartalmazza.</w:t>
      </w:r>
    </w:p>
    <w:p w14:paraId="786D9EE8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Tanulástámogató anyagok</w:t>
      </w:r>
    </w:p>
    <w:p w14:paraId="6FE12D72" w14:textId="77777777" w:rsidR="00C338AF" w:rsidRDefault="00C8189C">
      <w:pPr>
        <w:pStyle w:val="Listaszerbekezds"/>
        <w:numPr>
          <w:ilvl w:val="0"/>
          <w:numId w:val="3"/>
        </w:numPr>
        <w:spacing w:after="0"/>
        <w:jc w:val="left"/>
        <w:rPr>
          <w:bCs/>
          <w:szCs w:val="24"/>
        </w:rPr>
      </w:pPr>
      <w:r>
        <w:rPr>
          <w:szCs w:val="24"/>
        </w:rPr>
        <w:t xml:space="preserve">Letölthető anyagok </w:t>
      </w:r>
    </w:p>
    <w:p w14:paraId="2C99700B" w14:textId="460524FB" w:rsidR="00C338AF" w:rsidRDefault="00C8189C">
      <w:pPr>
        <w:pStyle w:val="Listaszerbekezds"/>
        <w:numPr>
          <w:ilvl w:val="1"/>
          <w:numId w:val="3"/>
        </w:numPr>
        <w:spacing w:after="0"/>
        <w:jc w:val="left"/>
        <w:rPr>
          <w:bCs/>
          <w:szCs w:val="24"/>
        </w:rPr>
      </w:pPr>
      <w:r>
        <w:rPr>
          <w:szCs w:val="24"/>
        </w:rPr>
        <w:t>Elektronikus jegyzet</w:t>
      </w:r>
      <w:r w:rsidR="00E75218">
        <w:rPr>
          <w:szCs w:val="24"/>
        </w:rPr>
        <w:t xml:space="preserve"> a tárgy honlapján </w:t>
      </w:r>
    </w:p>
    <w:p w14:paraId="156C12C4" w14:textId="4E688554" w:rsidR="00C338AF" w:rsidRDefault="00E63630">
      <w:pPr>
        <w:pStyle w:val="Listaszerbekezds"/>
        <w:numPr>
          <w:ilvl w:val="1"/>
          <w:numId w:val="3"/>
        </w:numPr>
        <w:spacing w:after="0"/>
        <w:jc w:val="left"/>
        <w:rPr>
          <w:bCs/>
          <w:szCs w:val="24"/>
        </w:rPr>
      </w:pPr>
      <w:r>
        <w:rPr>
          <w:bCs/>
          <w:szCs w:val="24"/>
        </w:rPr>
        <w:t>Előadás ppt-k.</w:t>
      </w:r>
    </w:p>
    <w:p w14:paraId="3C61CC2F" w14:textId="77777777" w:rsidR="00C338AF" w:rsidRDefault="00C338AF"/>
    <w:p w14:paraId="0EE2EB1D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Konzultációs lehetőségek </w:t>
      </w:r>
    </w:p>
    <w:p w14:paraId="32626851" w14:textId="77777777" w:rsidR="00C338AF" w:rsidRDefault="00C8189C">
      <w:r>
        <w:t xml:space="preserve">Konzultációs időpontok: </w:t>
      </w:r>
    </w:p>
    <w:p w14:paraId="0448A86C" w14:textId="77777777" w:rsidR="00C338AF" w:rsidRDefault="00C8189C">
      <w:pPr>
        <w:ind w:firstLine="708"/>
      </w:pPr>
      <w:proofErr w:type="gramStart"/>
      <w:r>
        <w:t>a</w:t>
      </w:r>
      <w:proofErr w:type="gramEnd"/>
      <w:r>
        <w:t xml:space="preserve"> tanszék honlapján megadottak szerint, vagy</w:t>
      </w:r>
    </w:p>
    <w:p w14:paraId="7271E52A" w14:textId="6E1ED34E" w:rsidR="00C338AF" w:rsidRDefault="00C8189C">
      <w:pPr>
        <w:ind w:firstLine="708"/>
      </w:pPr>
      <w:proofErr w:type="gramStart"/>
      <w:r>
        <w:t>előzetesen</w:t>
      </w:r>
      <w:proofErr w:type="gramEnd"/>
      <w:r>
        <w:t xml:space="preserve">, e-mail-ben egyeztetve; e-mail: </w:t>
      </w:r>
      <w:hyperlink r:id="rId9" w:history="1">
        <w:r w:rsidR="00E63630" w:rsidRPr="00B234DA">
          <w:rPr>
            <w:rStyle w:val="Hiperhivatkozs"/>
          </w:rPr>
          <w:t>kopecsko.katalin@epito.bme.hu</w:t>
        </w:r>
      </w:hyperlink>
      <w:r>
        <w:t xml:space="preserve"> </w:t>
      </w:r>
    </w:p>
    <w:p w14:paraId="1671635D" w14:textId="77777777" w:rsidR="00C338AF" w:rsidRDefault="00C8189C">
      <w:pPr>
        <w:spacing w:after="160" w:line="259" w:lineRule="auto"/>
        <w:jc w:val="left"/>
      </w:pPr>
      <w:r>
        <w:br w:type="page"/>
      </w:r>
    </w:p>
    <w:p w14:paraId="7BA8C94A" w14:textId="77777777" w:rsidR="002E5EC7" w:rsidRDefault="002E5EC7">
      <w:pPr>
        <w:spacing w:after="160" w:line="259" w:lineRule="auto"/>
        <w:jc w:val="left"/>
      </w:pPr>
    </w:p>
    <w:p w14:paraId="16FD97DE" w14:textId="77777777" w:rsidR="00C338AF" w:rsidRDefault="00C8189C">
      <w:pPr>
        <w:pStyle w:val="Cm"/>
        <w:numPr>
          <w:ilvl w:val="0"/>
          <w:numId w:val="10"/>
        </w:numPr>
        <w:ind w:left="709" w:hanging="709"/>
        <w:jc w:val="center"/>
      </w:pPr>
      <w:r>
        <w:t xml:space="preserve">TantárgyKövetelmények </w:t>
      </w:r>
    </w:p>
    <w:p w14:paraId="19B7D227" w14:textId="77777777" w:rsidR="00C338AF" w:rsidRDefault="00C8189C">
      <w:pPr>
        <w:pStyle w:val="Cmsor1"/>
        <w:numPr>
          <w:ilvl w:val="0"/>
          <w:numId w:val="2"/>
        </w:numPr>
        <w:shd w:val="clear" w:color="auto" w:fill="D9D9D9"/>
      </w:pPr>
      <w:r>
        <w:t>A Tanulmányi teljesítmény ellenőrzése ÉS ért</w:t>
      </w:r>
      <w:r w:rsidR="003769A0">
        <w:t>é</w:t>
      </w:r>
      <w:r>
        <w:t>kelése</w:t>
      </w:r>
    </w:p>
    <w:p w14:paraId="3C05E5FB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Általános szabályok </w:t>
      </w:r>
    </w:p>
    <w:p w14:paraId="4954906C" w14:textId="77777777" w:rsidR="00C338AF" w:rsidRDefault="00CF25EA">
      <w:r w:rsidRPr="00CF25EA">
        <w:t xml:space="preserve">A 2.2. pontban megfogalmazott tanulási eredmények értékelése </w:t>
      </w:r>
      <w:r w:rsidR="007E587F">
        <w:t>két</w:t>
      </w:r>
      <w:r w:rsidRPr="00CF25EA">
        <w:t xml:space="preserve"> összegző zárthelyi dolgozat alapján történik.</w:t>
      </w:r>
    </w:p>
    <w:p w14:paraId="4C354897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Teljesítményértékelési módszerek</w:t>
      </w:r>
    </w:p>
    <w:p w14:paraId="332E9C07" w14:textId="77777777" w:rsidR="00C338AF" w:rsidRDefault="00C338AF">
      <w:pPr>
        <w:pStyle w:val="Listaszerbekezds"/>
      </w:pPr>
    </w:p>
    <w:tbl>
      <w:tblPr>
        <w:tblStyle w:val="Rcsostblzat"/>
        <w:tblW w:w="10195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0"/>
        <w:gridCol w:w="1080"/>
        <w:gridCol w:w="3625"/>
      </w:tblGrid>
      <w:tr w:rsidR="00C338AF" w14:paraId="3E31E041" w14:textId="77777777">
        <w:trPr>
          <w:jc w:val="center"/>
        </w:trPr>
        <w:tc>
          <w:tcPr>
            <w:tcW w:w="5490" w:type="dxa"/>
            <w:shd w:val="clear" w:color="auto" w:fill="auto"/>
            <w:tcMar>
              <w:left w:w="103" w:type="dxa"/>
            </w:tcMar>
            <w:vAlign w:val="center"/>
          </w:tcPr>
          <w:p w14:paraId="1E2483D9" w14:textId="77777777" w:rsidR="00C338AF" w:rsidRDefault="00C8189C">
            <w:pPr>
              <w:spacing w:after="0"/>
              <w:jc w:val="left"/>
            </w:pPr>
            <w:r>
              <w:rPr>
                <w:b/>
                <w:sz w:val="20"/>
                <w:szCs w:val="20"/>
              </w:rPr>
              <w:t xml:space="preserve">Teljesítményértékelés neve (típus)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E2E45C" w14:textId="77777777" w:rsidR="00C338AF" w:rsidRDefault="00C8189C">
            <w:pPr>
              <w:spacing w:after="0"/>
            </w:pPr>
            <w:r>
              <w:t>jele</w:t>
            </w:r>
          </w:p>
        </w:tc>
        <w:tc>
          <w:tcPr>
            <w:tcW w:w="3625" w:type="dxa"/>
            <w:shd w:val="clear" w:color="auto" w:fill="auto"/>
            <w:tcMar>
              <w:left w:w="103" w:type="dxa"/>
            </w:tcMar>
            <w:vAlign w:val="center"/>
          </w:tcPr>
          <w:p w14:paraId="105F9709" w14:textId="77777777" w:rsidR="00C338AF" w:rsidRDefault="00C8189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értékelt tanulási eredmények</w:t>
            </w:r>
          </w:p>
        </w:tc>
      </w:tr>
      <w:tr w:rsidR="00E23295" w:rsidRPr="00E23295" w14:paraId="23DC39BC" w14:textId="77777777">
        <w:trPr>
          <w:jc w:val="center"/>
        </w:trPr>
        <w:tc>
          <w:tcPr>
            <w:tcW w:w="5490" w:type="dxa"/>
            <w:shd w:val="clear" w:color="auto" w:fill="auto"/>
            <w:tcMar>
              <w:left w:w="103" w:type="dxa"/>
            </w:tcMar>
          </w:tcPr>
          <w:p w14:paraId="1A74E8FE" w14:textId="77777777" w:rsidR="00C338AF" w:rsidRPr="00E23295" w:rsidRDefault="00C8189C">
            <w:pPr>
              <w:spacing w:after="0"/>
              <w:rPr>
                <w:color w:val="auto"/>
              </w:rPr>
            </w:pPr>
            <w:r w:rsidRPr="00E23295">
              <w:rPr>
                <w:color w:val="auto"/>
                <w:sz w:val="20"/>
              </w:rPr>
              <w:t>1. zárthelyi dolgozat (összegző értékelés)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121B27C7" w14:textId="77777777" w:rsidR="00C338AF" w:rsidRPr="00E23295" w:rsidRDefault="00C8189C">
            <w:pPr>
              <w:spacing w:after="0"/>
              <w:rPr>
                <w:color w:val="auto"/>
              </w:rPr>
            </w:pPr>
            <w:r w:rsidRPr="00E23295">
              <w:rPr>
                <w:color w:val="auto"/>
              </w:rPr>
              <w:t>ZH1</w:t>
            </w:r>
          </w:p>
        </w:tc>
        <w:tc>
          <w:tcPr>
            <w:tcW w:w="3625" w:type="dxa"/>
            <w:shd w:val="clear" w:color="auto" w:fill="auto"/>
            <w:tcMar>
              <w:left w:w="103" w:type="dxa"/>
            </w:tcMar>
          </w:tcPr>
          <w:p w14:paraId="36D1A60E" w14:textId="39F58905" w:rsidR="00C338AF" w:rsidRPr="00E23295" w:rsidRDefault="00C8189C" w:rsidP="002E5EC7">
            <w:pPr>
              <w:spacing w:after="0"/>
              <w:rPr>
                <w:color w:val="auto"/>
                <w:sz w:val="20"/>
                <w:szCs w:val="20"/>
              </w:rPr>
            </w:pPr>
            <w:proofErr w:type="gramStart"/>
            <w:r w:rsidRPr="00E23295">
              <w:rPr>
                <w:color w:val="auto"/>
                <w:sz w:val="20"/>
                <w:szCs w:val="20"/>
              </w:rPr>
              <w:t>A.</w:t>
            </w:r>
            <w:proofErr w:type="gramEnd"/>
            <w:r w:rsidRPr="00E23295">
              <w:rPr>
                <w:color w:val="auto"/>
                <w:sz w:val="20"/>
                <w:szCs w:val="20"/>
              </w:rPr>
              <w:t>1-A.4; B.1</w:t>
            </w:r>
            <w:r w:rsidR="0029048E" w:rsidRPr="00E23295">
              <w:rPr>
                <w:color w:val="auto"/>
                <w:sz w:val="20"/>
                <w:szCs w:val="20"/>
              </w:rPr>
              <w:t>-B.</w:t>
            </w:r>
            <w:r w:rsidR="00130558" w:rsidRPr="00E23295">
              <w:rPr>
                <w:color w:val="auto"/>
                <w:sz w:val="20"/>
                <w:szCs w:val="20"/>
              </w:rPr>
              <w:t>2</w:t>
            </w:r>
            <w:r w:rsidRPr="00E23295">
              <w:rPr>
                <w:color w:val="auto"/>
                <w:sz w:val="20"/>
                <w:szCs w:val="20"/>
              </w:rPr>
              <w:t xml:space="preserve">; </w:t>
            </w:r>
            <w:r w:rsidR="0029048E" w:rsidRPr="00E23295">
              <w:rPr>
                <w:color w:val="auto"/>
                <w:sz w:val="20"/>
                <w:szCs w:val="20"/>
              </w:rPr>
              <w:t>C.</w:t>
            </w:r>
            <w:r w:rsidR="00E23295" w:rsidRPr="00E23295">
              <w:rPr>
                <w:color w:val="auto"/>
                <w:sz w:val="20"/>
                <w:szCs w:val="20"/>
              </w:rPr>
              <w:t>1</w:t>
            </w:r>
            <w:r w:rsidR="0029048E" w:rsidRPr="00E23295">
              <w:rPr>
                <w:color w:val="auto"/>
                <w:sz w:val="20"/>
                <w:szCs w:val="20"/>
              </w:rPr>
              <w:t>-C.</w:t>
            </w:r>
            <w:r w:rsidR="002E5EC7">
              <w:rPr>
                <w:color w:val="auto"/>
                <w:sz w:val="20"/>
                <w:szCs w:val="20"/>
              </w:rPr>
              <w:t>3</w:t>
            </w:r>
            <w:r w:rsidR="00E23295" w:rsidRPr="00E23295">
              <w:rPr>
                <w:color w:val="auto"/>
                <w:sz w:val="20"/>
                <w:szCs w:val="20"/>
              </w:rPr>
              <w:t>; D.1-D.</w:t>
            </w:r>
            <w:r w:rsidR="002E5EC7">
              <w:rPr>
                <w:color w:val="auto"/>
                <w:sz w:val="20"/>
                <w:szCs w:val="20"/>
              </w:rPr>
              <w:t>2</w:t>
            </w:r>
          </w:p>
        </w:tc>
      </w:tr>
      <w:tr w:rsidR="00E23295" w:rsidRPr="00E23295" w14:paraId="5513E7C3" w14:textId="77777777">
        <w:trPr>
          <w:jc w:val="center"/>
        </w:trPr>
        <w:tc>
          <w:tcPr>
            <w:tcW w:w="5490" w:type="dxa"/>
            <w:shd w:val="clear" w:color="auto" w:fill="auto"/>
            <w:tcMar>
              <w:left w:w="103" w:type="dxa"/>
            </w:tcMar>
          </w:tcPr>
          <w:p w14:paraId="529FA22F" w14:textId="77777777" w:rsidR="00C338AF" w:rsidRPr="00E23295" w:rsidRDefault="007E587F">
            <w:pPr>
              <w:spacing w:after="0"/>
              <w:rPr>
                <w:color w:val="auto"/>
                <w:sz w:val="20"/>
              </w:rPr>
            </w:pPr>
            <w:r w:rsidRPr="00E23295">
              <w:rPr>
                <w:color w:val="auto"/>
                <w:sz w:val="20"/>
              </w:rPr>
              <w:t>2. zárthelyi dolgozat (összegző értékelés)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511DCA74" w14:textId="77777777" w:rsidR="00C338AF" w:rsidRPr="00E23295" w:rsidRDefault="007E587F" w:rsidP="007E587F">
            <w:pPr>
              <w:spacing w:after="0"/>
              <w:rPr>
                <w:color w:val="auto"/>
              </w:rPr>
            </w:pPr>
            <w:r w:rsidRPr="00E23295">
              <w:rPr>
                <w:color w:val="auto"/>
              </w:rPr>
              <w:t>ZH2</w:t>
            </w:r>
          </w:p>
        </w:tc>
        <w:tc>
          <w:tcPr>
            <w:tcW w:w="3625" w:type="dxa"/>
            <w:shd w:val="clear" w:color="auto" w:fill="auto"/>
            <w:tcMar>
              <w:left w:w="103" w:type="dxa"/>
            </w:tcMar>
          </w:tcPr>
          <w:p w14:paraId="7EEC94C3" w14:textId="6EEBB08B" w:rsidR="00C338AF" w:rsidRPr="00E23295" w:rsidRDefault="0029048E" w:rsidP="002E5EC7">
            <w:pPr>
              <w:spacing w:after="0"/>
              <w:rPr>
                <w:color w:val="auto"/>
                <w:sz w:val="20"/>
                <w:szCs w:val="20"/>
              </w:rPr>
            </w:pPr>
            <w:proofErr w:type="gramStart"/>
            <w:r w:rsidRPr="00E23295">
              <w:rPr>
                <w:color w:val="auto"/>
                <w:sz w:val="20"/>
                <w:szCs w:val="20"/>
              </w:rPr>
              <w:t>A.</w:t>
            </w:r>
            <w:proofErr w:type="gramEnd"/>
            <w:r w:rsidRPr="00E23295">
              <w:rPr>
                <w:color w:val="auto"/>
                <w:sz w:val="20"/>
                <w:szCs w:val="20"/>
              </w:rPr>
              <w:t>1-A.4; B.1-B.</w:t>
            </w:r>
            <w:r w:rsidR="00130558" w:rsidRPr="00E23295">
              <w:rPr>
                <w:color w:val="auto"/>
                <w:sz w:val="20"/>
                <w:szCs w:val="20"/>
              </w:rPr>
              <w:t>2</w:t>
            </w:r>
            <w:r w:rsidRPr="00E23295">
              <w:rPr>
                <w:color w:val="auto"/>
                <w:sz w:val="20"/>
                <w:szCs w:val="20"/>
              </w:rPr>
              <w:t>; C.</w:t>
            </w:r>
            <w:r w:rsidR="00E23295" w:rsidRPr="00E23295">
              <w:rPr>
                <w:color w:val="auto"/>
                <w:sz w:val="20"/>
                <w:szCs w:val="20"/>
              </w:rPr>
              <w:t>1</w:t>
            </w:r>
            <w:r w:rsidRPr="00E23295">
              <w:rPr>
                <w:color w:val="auto"/>
                <w:sz w:val="20"/>
                <w:szCs w:val="20"/>
              </w:rPr>
              <w:t>-C.</w:t>
            </w:r>
            <w:r w:rsidR="002E5EC7">
              <w:rPr>
                <w:color w:val="auto"/>
                <w:sz w:val="20"/>
                <w:szCs w:val="20"/>
              </w:rPr>
              <w:t>3</w:t>
            </w:r>
            <w:r w:rsidR="00E23295" w:rsidRPr="00E23295">
              <w:rPr>
                <w:color w:val="auto"/>
                <w:sz w:val="20"/>
                <w:szCs w:val="20"/>
              </w:rPr>
              <w:t>; D.1-D.</w:t>
            </w:r>
            <w:r w:rsidR="002E5EC7">
              <w:rPr>
                <w:color w:val="auto"/>
                <w:sz w:val="20"/>
                <w:szCs w:val="20"/>
              </w:rPr>
              <w:t>2</w:t>
            </w:r>
            <w:r w:rsidR="00E23295" w:rsidRPr="00E23295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8E6BE10" w14:textId="77777777" w:rsidR="00C338AF" w:rsidRDefault="00C8189C">
      <w:pPr>
        <w:pStyle w:val="Szvegtrzs"/>
      </w:pPr>
      <w:r>
        <w:t>A szorgalmi időszakban tartott értékelések pontos idejét, a „Részletes féléves ütemterv” tarta</w:t>
      </w:r>
      <w:r>
        <w:t>l</w:t>
      </w:r>
      <w:r>
        <w:t>mazza, mely elérhető a tárgy honlapján.</w:t>
      </w:r>
    </w:p>
    <w:p w14:paraId="37162595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Teljesítményértékelések részaránya a minősítésben</w:t>
      </w:r>
    </w:p>
    <w:p w14:paraId="67ACA0B0" w14:textId="77777777" w:rsidR="00C338AF" w:rsidRDefault="00C338AF"/>
    <w:tbl>
      <w:tblPr>
        <w:tblStyle w:val="Rcsostblzat"/>
        <w:tblW w:w="5697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961"/>
        <w:gridCol w:w="1736"/>
      </w:tblGrid>
      <w:tr w:rsidR="00C338AF" w14:paraId="2B014B1C" w14:textId="77777777" w:rsidTr="007E587F">
        <w:trPr>
          <w:jc w:val="center"/>
        </w:trPr>
        <w:tc>
          <w:tcPr>
            <w:tcW w:w="3961" w:type="dxa"/>
            <w:shd w:val="clear" w:color="auto" w:fill="auto"/>
            <w:tcMar>
              <w:left w:w="103" w:type="dxa"/>
            </w:tcMar>
          </w:tcPr>
          <w:p w14:paraId="649D7ECA" w14:textId="77777777" w:rsidR="00C338AF" w:rsidRDefault="00C8189C">
            <w:pPr>
              <w:spacing w:after="0"/>
              <w:jc w:val="center"/>
            </w:pPr>
            <w:r>
              <w:rPr>
                <w:b/>
              </w:rPr>
              <w:t>jele</w:t>
            </w:r>
          </w:p>
        </w:tc>
        <w:tc>
          <w:tcPr>
            <w:tcW w:w="1736" w:type="dxa"/>
            <w:shd w:val="clear" w:color="auto" w:fill="auto"/>
            <w:tcMar>
              <w:left w:w="103" w:type="dxa"/>
            </w:tcMar>
          </w:tcPr>
          <w:p w14:paraId="0915F915" w14:textId="77777777" w:rsidR="00C338AF" w:rsidRDefault="00C8189C">
            <w:pPr>
              <w:spacing w:after="0"/>
              <w:rPr>
                <w:b/>
              </w:rPr>
            </w:pPr>
            <w:r>
              <w:rPr>
                <w:b/>
              </w:rPr>
              <w:t>részarány</w:t>
            </w:r>
          </w:p>
        </w:tc>
      </w:tr>
      <w:tr w:rsidR="00C338AF" w14:paraId="528D5217" w14:textId="77777777" w:rsidTr="007E587F">
        <w:trPr>
          <w:jc w:val="center"/>
        </w:trPr>
        <w:tc>
          <w:tcPr>
            <w:tcW w:w="3961" w:type="dxa"/>
            <w:shd w:val="clear" w:color="auto" w:fill="auto"/>
            <w:tcMar>
              <w:left w:w="103" w:type="dxa"/>
            </w:tcMar>
            <w:vAlign w:val="center"/>
          </w:tcPr>
          <w:p w14:paraId="6BAB38A7" w14:textId="77777777" w:rsidR="00C338AF" w:rsidRDefault="00C8189C">
            <w:pPr>
              <w:spacing w:after="0"/>
              <w:jc w:val="center"/>
            </w:pPr>
            <w:r>
              <w:t>ZH1</w:t>
            </w:r>
          </w:p>
        </w:tc>
        <w:tc>
          <w:tcPr>
            <w:tcW w:w="1736" w:type="dxa"/>
            <w:shd w:val="clear" w:color="auto" w:fill="auto"/>
            <w:tcMar>
              <w:left w:w="103" w:type="dxa"/>
            </w:tcMar>
            <w:vAlign w:val="center"/>
          </w:tcPr>
          <w:p w14:paraId="22A94373" w14:textId="77777777" w:rsidR="00C338AF" w:rsidRDefault="007E587F">
            <w:pPr>
              <w:spacing w:after="0"/>
              <w:jc w:val="center"/>
            </w:pPr>
            <w:r>
              <w:t>5</w:t>
            </w:r>
            <w:r w:rsidR="00C8189C">
              <w:t>0%</w:t>
            </w:r>
          </w:p>
        </w:tc>
      </w:tr>
      <w:tr w:rsidR="00C338AF" w14:paraId="4E7EE2E8" w14:textId="77777777" w:rsidTr="007E587F">
        <w:trPr>
          <w:jc w:val="center"/>
        </w:trPr>
        <w:tc>
          <w:tcPr>
            <w:tcW w:w="3961" w:type="dxa"/>
            <w:shd w:val="clear" w:color="auto" w:fill="auto"/>
            <w:tcMar>
              <w:left w:w="103" w:type="dxa"/>
            </w:tcMar>
            <w:vAlign w:val="center"/>
          </w:tcPr>
          <w:p w14:paraId="129328DB" w14:textId="77777777" w:rsidR="00C338AF" w:rsidRDefault="007E587F" w:rsidP="007E587F">
            <w:pPr>
              <w:spacing w:after="0"/>
              <w:jc w:val="center"/>
            </w:pPr>
            <w:r>
              <w:t>ZH2</w:t>
            </w:r>
          </w:p>
        </w:tc>
        <w:tc>
          <w:tcPr>
            <w:tcW w:w="1736" w:type="dxa"/>
            <w:shd w:val="clear" w:color="auto" w:fill="auto"/>
            <w:tcMar>
              <w:left w:w="103" w:type="dxa"/>
            </w:tcMar>
            <w:vAlign w:val="center"/>
          </w:tcPr>
          <w:p w14:paraId="32930DA3" w14:textId="77777777" w:rsidR="00C338AF" w:rsidRDefault="00C8189C">
            <w:pPr>
              <w:spacing w:after="0"/>
              <w:jc w:val="center"/>
            </w:pPr>
            <w:r>
              <w:t>5</w:t>
            </w:r>
            <w:r w:rsidR="007E587F">
              <w:t>0</w:t>
            </w:r>
            <w:r>
              <w:t>%</w:t>
            </w:r>
          </w:p>
        </w:tc>
      </w:tr>
      <w:tr w:rsidR="00C338AF" w14:paraId="47474CFF" w14:textId="77777777" w:rsidTr="007E587F">
        <w:trPr>
          <w:jc w:val="center"/>
        </w:trPr>
        <w:tc>
          <w:tcPr>
            <w:tcW w:w="3961" w:type="dxa"/>
            <w:shd w:val="clear" w:color="auto" w:fill="auto"/>
            <w:tcMar>
              <w:left w:w="103" w:type="dxa"/>
            </w:tcMar>
            <w:vAlign w:val="center"/>
          </w:tcPr>
          <w:p w14:paraId="74D3BD10" w14:textId="77777777" w:rsidR="00C338AF" w:rsidRDefault="00C8189C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Szorgalmi időszakban összesen</w:t>
            </w:r>
          </w:p>
        </w:tc>
        <w:tc>
          <w:tcPr>
            <w:tcW w:w="1736" w:type="dxa"/>
            <w:shd w:val="clear" w:color="auto" w:fill="auto"/>
            <w:tcMar>
              <w:left w:w="103" w:type="dxa"/>
            </w:tcMar>
            <w:vAlign w:val="center"/>
          </w:tcPr>
          <w:p w14:paraId="7A090665" w14:textId="77777777" w:rsidR="00C338AF" w:rsidRDefault="007E587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8189C">
              <w:rPr>
                <w:b/>
                <w:bCs/>
              </w:rPr>
              <w:t>0%</w:t>
            </w:r>
          </w:p>
        </w:tc>
      </w:tr>
      <w:tr w:rsidR="00C338AF" w14:paraId="1D49D76C" w14:textId="77777777" w:rsidTr="007E587F">
        <w:trPr>
          <w:jc w:val="center"/>
        </w:trPr>
        <w:tc>
          <w:tcPr>
            <w:tcW w:w="396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561B9AB" w14:textId="77777777" w:rsidR="00C338AF" w:rsidRDefault="00C8189C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11C7F3B" w14:textId="77777777" w:rsidR="00C338AF" w:rsidRDefault="00C818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</w:tr>
    </w:tbl>
    <w:p w14:paraId="34DA0DAC" w14:textId="77777777" w:rsidR="00C338AF" w:rsidRDefault="0000096D">
      <w:pPr>
        <w:pStyle w:val="Szvegtrzs"/>
        <w:spacing w:after="0" w:line="240" w:lineRule="auto"/>
      </w:pPr>
      <w:r>
        <w:t>Mindkét</w:t>
      </w:r>
      <w:r w:rsidR="00C8189C" w:rsidRPr="0000096D">
        <w:t xml:space="preserve"> zárthelyi eredménytelen, ha </w:t>
      </w:r>
      <w:r>
        <w:t xml:space="preserve">a hallgató </w:t>
      </w:r>
      <w:r w:rsidR="00C8189C" w:rsidRPr="0000096D">
        <w:t>nem éri el a</w:t>
      </w:r>
      <w:r w:rsidR="003769A0" w:rsidRPr="0000096D">
        <w:t>z elérhető pontszám</w:t>
      </w:r>
      <w:r w:rsidR="00C8189C" w:rsidRPr="0000096D">
        <w:t xml:space="preserve"> </w:t>
      </w:r>
      <w:r w:rsidR="007E587F" w:rsidRPr="0000096D">
        <w:t>5</w:t>
      </w:r>
      <w:r w:rsidR="00C8189C" w:rsidRPr="0000096D">
        <w:t>0%-</w:t>
      </w:r>
      <w:r w:rsidR="003769A0" w:rsidRPr="0000096D">
        <w:t>át</w:t>
      </w:r>
      <w:r w:rsidR="00C8189C" w:rsidRPr="0000096D">
        <w:t>.</w:t>
      </w:r>
    </w:p>
    <w:p w14:paraId="2C4B453F" w14:textId="77777777" w:rsidR="00C338AF" w:rsidRDefault="00C8189C">
      <w:pPr>
        <w:pStyle w:val="Szvegtrzs"/>
        <w:spacing w:after="0" w:line="240" w:lineRule="auto"/>
      </w:pPr>
      <w:r>
        <w:t>A</w:t>
      </w:r>
      <w:r w:rsidR="003769A0">
        <w:t>z elérhető pontszám</w:t>
      </w:r>
      <w:r>
        <w:t xml:space="preserve"> </w:t>
      </w:r>
      <w:r w:rsidR="007E587F">
        <w:t>5</w:t>
      </w:r>
      <w:r>
        <w:t>0%-</w:t>
      </w:r>
      <w:r w:rsidR="003769A0">
        <w:t>á</w:t>
      </w:r>
      <w:r>
        <w:t xml:space="preserve">nál gyengébb </w:t>
      </w:r>
      <w:r w:rsidR="007E587F">
        <w:t>félév végi eredmény</w:t>
      </w:r>
      <w:r>
        <w:t xml:space="preserve"> </w:t>
      </w:r>
      <w:r w:rsidR="0000096D">
        <w:t>e</w:t>
      </w:r>
      <w:r>
        <w:t>légtelen</w:t>
      </w:r>
      <w:r w:rsidR="0000096D">
        <w:t xml:space="preserve"> (1)</w:t>
      </w:r>
      <w:r>
        <w:t xml:space="preserve"> </w:t>
      </w:r>
      <w:r w:rsidR="0000096D">
        <w:t>érdem</w:t>
      </w:r>
      <w:r>
        <w:t>jegyet ere</w:t>
      </w:r>
      <w:r>
        <w:t>d</w:t>
      </w:r>
      <w:r>
        <w:t>ményez.</w:t>
      </w:r>
    </w:p>
    <w:p w14:paraId="5EAC397B" w14:textId="77777777" w:rsidR="00C338AF" w:rsidRPr="007E587F" w:rsidRDefault="00C8189C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7E587F">
        <w:rPr>
          <w:color w:val="auto"/>
        </w:rPr>
        <w:t>Az aláírás megszerzésének feltétele, az aláírás érvényessége</w:t>
      </w:r>
    </w:p>
    <w:p w14:paraId="10261B59" w14:textId="77777777" w:rsidR="00C338AF" w:rsidRPr="007E587F" w:rsidRDefault="00C8189C">
      <w:pPr>
        <w:rPr>
          <w:color w:val="auto"/>
        </w:rPr>
      </w:pPr>
      <w:r w:rsidRPr="007E587F">
        <w:rPr>
          <w:color w:val="auto"/>
        </w:rPr>
        <w:t>A tárgyból nem szerezhető aláírás.</w:t>
      </w:r>
    </w:p>
    <w:p w14:paraId="20F3DBE2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Érdemjegy megállapítás</w:t>
      </w:r>
      <w:r w:rsidR="003769A0">
        <w:t>a</w:t>
      </w:r>
      <w:r>
        <w:t xml:space="preserve"> </w:t>
      </w:r>
    </w:p>
    <w:p w14:paraId="46472992" w14:textId="77777777" w:rsidR="00C338AF" w:rsidRDefault="00C8189C" w:rsidP="00702E10">
      <w:pPr>
        <w:pStyle w:val="Szvegtrzs"/>
        <w:spacing w:after="0" w:line="240" w:lineRule="auto"/>
      </w:pPr>
      <w:r>
        <w:t xml:space="preserve">A jelenléti feltételeket teljesítők </w:t>
      </w:r>
      <w:r w:rsidR="003769A0">
        <w:t xml:space="preserve">érdemjegyét </w:t>
      </w:r>
      <w:r>
        <w:t>az alábbi szempontok szerint határozzuk meg</w:t>
      </w:r>
      <w:r w:rsidR="003769A0">
        <w:t>:</w:t>
      </w:r>
      <w:r>
        <w:t xml:space="preserve"> </w:t>
      </w:r>
    </w:p>
    <w:p w14:paraId="33128FEB" w14:textId="77777777" w:rsidR="00C338AF" w:rsidRDefault="00C8189C" w:rsidP="00702E10">
      <w:pPr>
        <w:pStyle w:val="Szvegtrzs"/>
        <w:spacing w:after="0" w:line="240" w:lineRule="auto"/>
      </w:pPr>
      <w:r>
        <w:t xml:space="preserve">A végső </w:t>
      </w:r>
      <w:r w:rsidR="004B39E8">
        <w:t xml:space="preserve">érdemjegyet </w:t>
      </w:r>
      <w:r>
        <w:t xml:space="preserve">a két zárthelyi </w:t>
      </w:r>
      <w:proofErr w:type="spellStart"/>
      <w:r w:rsidR="0029048E">
        <w:t>összpontszáma</w:t>
      </w:r>
      <w:proofErr w:type="spellEnd"/>
      <w:r>
        <w:t xml:space="preserve"> alapján számítjuk: </w:t>
      </w:r>
    </w:p>
    <w:tbl>
      <w:tblPr>
        <w:tblStyle w:val="Rcsostblzat"/>
        <w:tblW w:w="6040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812"/>
        <w:gridCol w:w="2228"/>
      </w:tblGrid>
      <w:tr w:rsidR="0029048E" w14:paraId="766667CD" w14:textId="77777777" w:rsidTr="003C2550">
        <w:trPr>
          <w:jc w:val="center"/>
        </w:trPr>
        <w:tc>
          <w:tcPr>
            <w:tcW w:w="3811" w:type="dxa"/>
            <w:shd w:val="clear" w:color="auto" w:fill="auto"/>
            <w:tcMar>
              <w:left w:w="103" w:type="dxa"/>
            </w:tcMar>
          </w:tcPr>
          <w:p w14:paraId="6A2807F4" w14:textId="77777777" w:rsidR="0029048E" w:rsidRDefault="0029048E" w:rsidP="003C2550">
            <w:pPr>
              <w:spacing w:after="0"/>
            </w:pPr>
            <w:r>
              <w:rPr>
                <w:b/>
              </w:rPr>
              <w:t xml:space="preserve">érdemjegy 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1CC616D3" w14:textId="77777777" w:rsidR="0029048E" w:rsidRDefault="0029048E" w:rsidP="003C2550">
            <w:pPr>
              <w:spacing w:after="0"/>
            </w:pPr>
            <w:r>
              <w:rPr>
                <w:b/>
              </w:rPr>
              <w:t>Pontszám (P)</w:t>
            </w:r>
          </w:p>
        </w:tc>
      </w:tr>
      <w:tr w:rsidR="0029048E" w14:paraId="3E325410" w14:textId="77777777" w:rsidTr="003C2550">
        <w:trPr>
          <w:jc w:val="center"/>
        </w:trPr>
        <w:tc>
          <w:tcPr>
            <w:tcW w:w="3811" w:type="dxa"/>
            <w:shd w:val="clear" w:color="auto" w:fill="auto"/>
            <w:tcMar>
              <w:left w:w="103" w:type="dxa"/>
            </w:tcMar>
          </w:tcPr>
          <w:p w14:paraId="51A92ACB" w14:textId="77777777" w:rsidR="0029048E" w:rsidRDefault="0029048E" w:rsidP="003C2550">
            <w:pPr>
              <w:spacing w:after="0"/>
            </w:pPr>
            <w:proofErr w:type="gramStart"/>
            <w:r>
              <w:t>jeles(</w:t>
            </w:r>
            <w:proofErr w:type="gramEnd"/>
            <w:r>
              <w:t>5)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61DB8962" w14:textId="77777777" w:rsidR="0029048E" w:rsidRDefault="0029048E" w:rsidP="003C2550">
            <w:pPr>
              <w:spacing w:after="0"/>
            </w:pPr>
            <w:r>
              <w:t>85&lt;=P</w:t>
            </w:r>
          </w:p>
        </w:tc>
      </w:tr>
      <w:tr w:rsidR="0029048E" w14:paraId="44EF8B04" w14:textId="77777777" w:rsidTr="003C2550">
        <w:trPr>
          <w:jc w:val="center"/>
        </w:trPr>
        <w:tc>
          <w:tcPr>
            <w:tcW w:w="3811" w:type="dxa"/>
            <w:shd w:val="clear" w:color="auto" w:fill="auto"/>
            <w:tcMar>
              <w:left w:w="103" w:type="dxa"/>
            </w:tcMar>
          </w:tcPr>
          <w:p w14:paraId="2BCFAD06" w14:textId="77777777" w:rsidR="0029048E" w:rsidRDefault="0029048E" w:rsidP="003C2550">
            <w:pPr>
              <w:spacing w:after="0"/>
            </w:pPr>
            <w:proofErr w:type="gramStart"/>
            <w:r>
              <w:t>jó(</w:t>
            </w:r>
            <w:proofErr w:type="gramEnd"/>
            <w:r>
              <w:t xml:space="preserve">4) 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592D9665" w14:textId="77777777" w:rsidR="0029048E" w:rsidRDefault="0029048E" w:rsidP="003C2550">
            <w:pPr>
              <w:spacing w:after="0"/>
            </w:pPr>
            <w:r>
              <w:t>74&lt;=</w:t>
            </w:r>
            <w:proofErr w:type="gramStart"/>
            <w:r>
              <w:t>P&lt;</w:t>
            </w:r>
            <w:proofErr w:type="gramEnd"/>
            <w:r>
              <w:t>85%</w:t>
            </w:r>
          </w:p>
        </w:tc>
      </w:tr>
      <w:tr w:rsidR="0029048E" w14:paraId="7A41CCDD" w14:textId="77777777" w:rsidTr="003C2550">
        <w:trPr>
          <w:jc w:val="center"/>
        </w:trPr>
        <w:tc>
          <w:tcPr>
            <w:tcW w:w="3811" w:type="dxa"/>
            <w:shd w:val="clear" w:color="auto" w:fill="auto"/>
            <w:tcMar>
              <w:left w:w="103" w:type="dxa"/>
            </w:tcMar>
          </w:tcPr>
          <w:p w14:paraId="34B4E8A1" w14:textId="77777777" w:rsidR="0029048E" w:rsidRDefault="0029048E" w:rsidP="003C2550">
            <w:pPr>
              <w:spacing w:after="0"/>
            </w:pPr>
            <w:proofErr w:type="gramStart"/>
            <w:r>
              <w:t>közepes(</w:t>
            </w:r>
            <w:proofErr w:type="gramEnd"/>
            <w:r>
              <w:t xml:space="preserve">3) 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1B4D299B" w14:textId="77777777" w:rsidR="0029048E" w:rsidRDefault="0029048E" w:rsidP="003C2550">
            <w:pPr>
              <w:spacing w:after="0"/>
            </w:pPr>
            <w:r>
              <w:t>63&lt;=</w:t>
            </w:r>
            <w:proofErr w:type="gramStart"/>
            <w:r>
              <w:t>P&lt;</w:t>
            </w:r>
            <w:proofErr w:type="gramEnd"/>
            <w:r>
              <w:t>74%</w:t>
            </w:r>
          </w:p>
        </w:tc>
      </w:tr>
      <w:tr w:rsidR="0029048E" w14:paraId="49448161" w14:textId="77777777" w:rsidTr="003C2550">
        <w:trPr>
          <w:jc w:val="center"/>
        </w:trPr>
        <w:tc>
          <w:tcPr>
            <w:tcW w:w="3811" w:type="dxa"/>
            <w:shd w:val="clear" w:color="auto" w:fill="auto"/>
            <w:tcMar>
              <w:left w:w="103" w:type="dxa"/>
            </w:tcMar>
          </w:tcPr>
          <w:p w14:paraId="495D24E8" w14:textId="77777777" w:rsidR="0029048E" w:rsidRDefault="0029048E" w:rsidP="003C2550">
            <w:pPr>
              <w:spacing w:after="0"/>
            </w:pPr>
            <w:proofErr w:type="gramStart"/>
            <w:r>
              <w:t>elégséges(</w:t>
            </w:r>
            <w:proofErr w:type="gramEnd"/>
            <w:r>
              <w:t xml:space="preserve">2) 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155DC468" w14:textId="77777777" w:rsidR="0029048E" w:rsidRDefault="0029048E" w:rsidP="003C2550">
            <w:pPr>
              <w:spacing w:after="0"/>
            </w:pPr>
            <w:r>
              <w:t>50&lt;=</w:t>
            </w:r>
            <w:proofErr w:type="gramStart"/>
            <w:r>
              <w:t>P&lt;</w:t>
            </w:r>
            <w:proofErr w:type="gramEnd"/>
            <w:r>
              <w:t>63%</w:t>
            </w:r>
          </w:p>
        </w:tc>
      </w:tr>
      <w:tr w:rsidR="0029048E" w14:paraId="512A790A" w14:textId="77777777" w:rsidTr="003C2550">
        <w:trPr>
          <w:jc w:val="center"/>
        </w:trPr>
        <w:tc>
          <w:tcPr>
            <w:tcW w:w="3811" w:type="dxa"/>
            <w:shd w:val="clear" w:color="auto" w:fill="auto"/>
            <w:tcMar>
              <w:left w:w="103" w:type="dxa"/>
            </w:tcMar>
          </w:tcPr>
          <w:p w14:paraId="64243789" w14:textId="77777777" w:rsidR="0029048E" w:rsidRDefault="0029048E" w:rsidP="003C2550">
            <w:pPr>
              <w:spacing w:after="0"/>
            </w:pPr>
            <w:proofErr w:type="gramStart"/>
            <w:r>
              <w:t>elégtelen(</w:t>
            </w:r>
            <w:proofErr w:type="gramEnd"/>
            <w:r>
              <w:t xml:space="preserve">1) 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5C735FAE" w14:textId="77777777" w:rsidR="0029048E" w:rsidRDefault="0029048E" w:rsidP="003C2550">
            <w:pPr>
              <w:spacing w:after="0"/>
            </w:pPr>
            <w:proofErr w:type="gramStart"/>
            <w:r>
              <w:t>P&lt;</w:t>
            </w:r>
            <w:proofErr w:type="gramEnd"/>
            <w:r>
              <w:t>50%</w:t>
            </w:r>
          </w:p>
        </w:tc>
      </w:tr>
    </w:tbl>
    <w:p w14:paraId="657264E0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Javítás és pótlás </w:t>
      </w:r>
    </w:p>
    <w:p w14:paraId="5293F897" w14:textId="61522CF6" w:rsidR="00C338AF" w:rsidRDefault="00C8189C">
      <w:pPr>
        <w:pStyle w:val="Listaszerbekezds"/>
        <w:numPr>
          <w:ilvl w:val="0"/>
          <w:numId w:val="11"/>
        </w:numPr>
      </w:pPr>
      <w:bookmarkStart w:id="2" w:name="_Ref466271413"/>
      <w:bookmarkStart w:id="3" w:name="_Ref466271853"/>
      <w:bookmarkEnd w:id="2"/>
      <w:bookmarkEnd w:id="3"/>
      <w:r>
        <w:t>A két összegző tanulmányi teljesítmé</w:t>
      </w:r>
      <w:r w:rsidR="0000096D">
        <w:t xml:space="preserve">nyértékelés összevont formában </w:t>
      </w:r>
      <w:r>
        <w:t>– első alkalommal – díjmentesen pótolható vagy javítható. Javítás esetén a korábbi és az új eredmény közül a hallgató számára kedvezőbbet vesszük figyelembe.</w:t>
      </w:r>
    </w:p>
    <w:p w14:paraId="11B499D1" w14:textId="1BF3706E" w:rsidR="00C338AF" w:rsidRPr="0000096D" w:rsidRDefault="00C8189C">
      <w:pPr>
        <w:pStyle w:val="Listaszerbekezds"/>
        <w:numPr>
          <w:ilvl w:val="0"/>
          <w:numId w:val="11"/>
        </w:numPr>
      </w:pPr>
      <w:r w:rsidRPr="0000096D">
        <w:t>Amennyiben a</w:t>
      </w:r>
      <w:r w:rsidR="002E5EC7">
        <w:t>z</w:t>
      </w:r>
      <w:r w:rsidRPr="0000096D">
        <w:t xml:space="preserve"> </w:t>
      </w:r>
      <w:r w:rsidR="002E5EC7">
        <w:t>1</w:t>
      </w:r>
      <w:r w:rsidR="0000096D" w:rsidRPr="0000096D">
        <w:t>)</w:t>
      </w:r>
      <w:r w:rsidRPr="0000096D">
        <w:t xml:space="preserve"> pont szerinti pótlással sem tud a hallgató elégtelentől különböző é</w:t>
      </w:r>
      <w:r w:rsidRPr="0000096D">
        <w:t>r</w:t>
      </w:r>
      <w:r w:rsidRPr="0000096D">
        <w:t>demjegyet szerezni, úgy – szabályzatban meghatározott díj megfizetése mellett – más</w:t>
      </w:r>
      <w:r w:rsidRPr="0000096D">
        <w:t>o</w:t>
      </w:r>
      <w:r w:rsidRPr="0000096D">
        <w:t>dik alkalommal, összevont formában ismételt kísérletet a sikertelen első pótlás javítására.</w:t>
      </w:r>
    </w:p>
    <w:p w14:paraId="587D9C0C" w14:textId="77777777" w:rsidR="00C338AF" w:rsidRDefault="00C8189C">
      <w:pPr>
        <w:pStyle w:val="Cmsor2"/>
        <w:numPr>
          <w:ilvl w:val="1"/>
          <w:numId w:val="2"/>
        </w:numPr>
        <w:ind w:left="578" w:hanging="578"/>
        <w:rPr>
          <w:bCs/>
        </w:rPr>
      </w:pPr>
      <w:r>
        <w:lastRenderedPageBreak/>
        <w:t xml:space="preserve">A tantárgy elvégzéséhez szükséges tanulmányi munka </w:t>
      </w:r>
    </w:p>
    <w:p w14:paraId="65D8703E" w14:textId="77777777" w:rsidR="00C338AF" w:rsidRDefault="00C338AF"/>
    <w:tbl>
      <w:tblPr>
        <w:tblW w:w="549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016"/>
        <w:gridCol w:w="1476"/>
      </w:tblGrid>
      <w:tr w:rsidR="00C338AF" w14:paraId="22314FE8" w14:textId="77777777" w:rsidTr="00702E10">
        <w:trPr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B56EC57" w14:textId="77777777" w:rsidR="00C338AF" w:rsidRDefault="00C8189C">
            <w:pPr>
              <w:pStyle w:val="szoveg"/>
              <w:jc w:val="left"/>
              <w:rPr>
                <w:rFonts w:ascii="Palatino Linotype" w:hAnsi="Palatino Linotype"/>
                <w:b/>
                <w:bCs/>
                <w:szCs w:val="20"/>
              </w:rPr>
            </w:pPr>
            <w:r>
              <w:rPr>
                <w:rFonts w:ascii="Palatino Linotype" w:hAnsi="Palatino Linotype"/>
                <w:b/>
                <w:bCs/>
                <w:szCs w:val="20"/>
              </w:rPr>
              <w:t xml:space="preserve">Tevékenység 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B59C13" w14:textId="77777777" w:rsidR="00C338AF" w:rsidRDefault="00C8189C">
            <w:pPr>
              <w:pStyle w:val="szoveg"/>
              <w:jc w:val="left"/>
              <w:rPr>
                <w:rFonts w:ascii="Palatino Linotype" w:hAnsi="Palatino Linotype"/>
                <w:b/>
                <w:bCs/>
                <w:szCs w:val="20"/>
              </w:rPr>
            </w:pPr>
            <w:r>
              <w:rPr>
                <w:rFonts w:ascii="Palatino Linotype" w:hAnsi="Palatino Linotype"/>
                <w:b/>
                <w:bCs/>
                <w:szCs w:val="20"/>
              </w:rPr>
              <w:t xml:space="preserve">óra/félév </w:t>
            </w:r>
          </w:p>
        </w:tc>
      </w:tr>
      <w:tr w:rsidR="00C338AF" w14:paraId="04BC7D2B" w14:textId="77777777" w:rsidTr="00702E10">
        <w:trPr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D34A4D" w14:textId="77777777" w:rsidR="00C338AF" w:rsidRDefault="00C8189C">
            <w:pPr>
              <w:pStyle w:val="szoveg"/>
              <w:jc w:val="left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>részvétel a kontakt tanórákon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D64FB4" w14:textId="77777777" w:rsidR="00C338AF" w:rsidRDefault="00C8189C" w:rsidP="00702E10">
            <w:pPr>
              <w:pStyle w:val="szoveg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>14×</w:t>
            </w:r>
            <w:r w:rsidR="00702E10">
              <w:rPr>
                <w:rFonts w:ascii="Palatino Linotype" w:hAnsi="Palatino Linotype"/>
                <w:bCs/>
                <w:szCs w:val="20"/>
              </w:rPr>
              <w:t>2</w:t>
            </w:r>
            <w:r>
              <w:rPr>
                <w:rFonts w:ascii="Palatino Linotype" w:hAnsi="Palatino Linotype"/>
                <w:bCs/>
                <w:szCs w:val="20"/>
              </w:rPr>
              <w:t>=</w:t>
            </w:r>
            <w:r w:rsidR="00702E10">
              <w:rPr>
                <w:rFonts w:ascii="Palatino Linotype" w:hAnsi="Palatino Linotype"/>
                <w:bCs/>
                <w:szCs w:val="20"/>
              </w:rPr>
              <w:t>28</w:t>
            </w:r>
          </w:p>
        </w:tc>
      </w:tr>
      <w:tr w:rsidR="00C338AF" w14:paraId="0E490A39" w14:textId="77777777" w:rsidTr="00702E10">
        <w:trPr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1A86C1" w14:textId="77777777" w:rsidR="00C338AF" w:rsidRDefault="00C8189C">
            <w:pPr>
              <w:pStyle w:val="szoveg"/>
              <w:jc w:val="left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 xml:space="preserve">felkészülés a teljesítményértékelésekre 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B0736D" w14:textId="77777777" w:rsidR="00C338AF" w:rsidRDefault="00C8189C" w:rsidP="0000096D">
            <w:pPr>
              <w:pStyle w:val="szoveg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>2×</w:t>
            </w:r>
            <w:r w:rsidR="0000096D">
              <w:rPr>
                <w:rFonts w:ascii="Palatino Linotype" w:hAnsi="Palatino Linotype"/>
                <w:bCs/>
                <w:szCs w:val="20"/>
              </w:rPr>
              <w:t>10</w:t>
            </w:r>
            <w:r>
              <w:rPr>
                <w:rFonts w:ascii="Palatino Linotype" w:hAnsi="Palatino Linotype"/>
                <w:bCs/>
                <w:szCs w:val="20"/>
              </w:rPr>
              <w:t>=20</w:t>
            </w:r>
          </w:p>
        </w:tc>
      </w:tr>
      <w:tr w:rsidR="00C338AF" w14:paraId="63244151" w14:textId="77777777" w:rsidTr="00702E10">
        <w:trPr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19D638" w14:textId="77777777" w:rsidR="00C338AF" w:rsidRDefault="00C8189C">
            <w:pPr>
              <w:pStyle w:val="szoveg"/>
              <w:jc w:val="left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 xml:space="preserve">kijelölt írásos tananyag önálló elsajátítása 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BEDF3" w14:textId="77777777" w:rsidR="00C338AF" w:rsidRDefault="00C8189C" w:rsidP="0000096D">
            <w:pPr>
              <w:pStyle w:val="szoveg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>1</w:t>
            </w:r>
            <w:r w:rsidR="0000096D">
              <w:rPr>
                <w:rFonts w:ascii="Palatino Linotype" w:hAnsi="Palatino Linotype"/>
                <w:bCs/>
                <w:szCs w:val="20"/>
              </w:rPr>
              <w:t>2</w:t>
            </w:r>
          </w:p>
        </w:tc>
      </w:tr>
      <w:tr w:rsidR="00C338AF" w14:paraId="37A15025" w14:textId="77777777" w:rsidTr="00702E10">
        <w:trPr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2353C2" w14:textId="77777777" w:rsidR="00C338AF" w:rsidRDefault="00C8189C">
            <w:pPr>
              <w:pStyle w:val="szoveg"/>
              <w:jc w:val="right"/>
              <w:rPr>
                <w:rFonts w:ascii="Palatino Linotype" w:hAnsi="Palatino Linotype"/>
                <w:b/>
                <w:bCs/>
                <w:szCs w:val="20"/>
              </w:rPr>
            </w:pPr>
            <w:r>
              <w:rPr>
                <w:rFonts w:ascii="Palatino Linotype" w:hAnsi="Palatino Linotype"/>
                <w:b/>
                <w:bCs/>
                <w:szCs w:val="20"/>
              </w:rPr>
              <w:t xml:space="preserve">összesen 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5107B3" w14:textId="77777777" w:rsidR="00C338AF" w:rsidRDefault="0000096D">
            <w:pPr>
              <w:pStyle w:val="szoveg"/>
              <w:rPr>
                <w:rFonts w:ascii="Palatino Linotype" w:hAnsi="Palatino Linotype"/>
                <w:b/>
                <w:bCs/>
                <w:szCs w:val="20"/>
              </w:rPr>
            </w:pPr>
            <w:r>
              <w:rPr>
                <w:rFonts w:ascii="Palatino Linotype" w:hAnsi="Palatino Linotype"/>
                <w:b/>
                <w:bCs/>
                <w:szCs w:val="20"/>
              </w:rPr>
              <w:t>6</w:t>
            </w:r>
            <w:r w:rsidR="00C8189C">
              <w:rPr>
                <w:rFonts w:ascii="Palatino Linotype" w:hAnsi="Palatino Linotype"/>
                <w:b/>
                <w:bCs/>
                <w:szCs w:val="20"/>
              </w:rPr>
              <w:t>0</w:t>
            </w:r>
          </w:p>
        </w:tc>
      </w:tr>
    </w:tbl>
    <w:p w14:paraId="428C676B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A tantárgykövetelmények érvényessége</w:t>
      </w:r>
    </w:p>
    <w:p w14:paraId="1F6854C1" w14:textId="77777777" w:rsidR="00C338AF" w:rsidRDefault="00C8189C">
      <w:pPr>
        <w:rPr>
          <w:highlight w:val="yellow"/>
        </w:rPr>
      </w:pPr>
      <w:r>
        <w:t>2017. szeptember 1-től</w:t>
      </w:r>
    </w:p>
    <w:p w14:paraId="008844A3" w14:textId="77777777" w:rsidR="00C338AF" w:rsidRDefault="00C338AF"/>
    <w:sectPr w:rsidR="00C338AF">
      <w:pgSz w:w="11906" w:h="16838"/>
      <w:pgMar w:top="567" w:right="567" w:bottom="567" w:left="1134" w:header="0" w:footer="0" w:gutter="0"/>
      <w:cols w:space="708"/>
      <w:formProt w:val="0"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FE5DE9" w15:done="0"/>
  <w15:commentEx w15:paraId="2FA24B05" w15:done="0"/>
  <w15:commentEx w15:paraId="0D2B4C4A" w15:done="0"/>
  <w15:commentEx w15:paraId="1FA0822E" w15:done="0"/>
  <w15:commentEx w15:paraId="7448BBC7" w15:done="0"/>
  <w15:commentEx w15:paraId="08694AB6" w15:done="0"/>
  <w15:commentEx w15:paraId="3C07868F" w15:done="0"/>
  <w15:commentEx w15:paraId="3D9FE42C" w15:done="0"/>
  <w15:commentEx w15:paraId="0FE293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Arial Unicode M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B50"/>
    <w:multiLevelType w:val="multilevel"/>
    <w:tmpl w:val="9FC00F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5E53E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1820ED1"/>
    <w:multiLevelType w:val="hybridMultilevel"/>
    <w:tmpl w:val="96B42730"/>
    <w:lvl w:ilvl="0" w:tplc="3C38BE06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7795D"/>
    <w:multiLevelType w:val="multilevel"/>
    <w:tmpl w:val="4AE6BE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C1616"/>
    <w:multiLevelType w:val="multilevel"/>
    <w:tmpl w:val="F52082B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22B563C"/>
    <w:multiLevelType w:val="multilevel"/>
    <w:tmpl w:val="E662EFDE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6">
    <w:nsid w:val="651D5731"/>
    <w:multiLevelType w:val="multilevel"/>
    <w:tmpl w:val="7FA8C6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53622BF"/>
    <w:multiLevelType w:val="multilevel"/>
    <w:tmpl w:val="70B68C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5E52FF5"/>
    <w:multiLevelType w:val="multilevel"/>
    <w:tmpl w:val="2738F4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C633990"/>
    <w:multiLevelType w:val="multilevel"/>
    <w:tmpl w:val="07CA24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CDA06B6"/>
    <w:multiLevelType w:val="multilevel"/>
    <w:tmpl w:val="2DF2198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D336C5F"/>
    <w:multiLevelType w:val="multilevel"/>
    <w:tmpl w:val="913890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s Lovas">
    <w15:presenceInfo w15:providerId="Windows Live" w15:userId="1ec654edbfbce2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AF"/>
    <w:rsid w:val="0000096D"/>
    <w:rsid w:val="0012591E"/>
    <w:rsid w:val="00130558"/>
    <w:rsid w:val="00136E6B"/>
    <w:rsid w:val="00235435"/>
    <w:rsid w:val="0029048E"/>
    <w:rsid w:val="002E02CB"/>
    <w:rsid w:val="002E5EC7"/>
    <w:rsid w:val="002F3A02"/>
    <w:rsid w:val="00300289"/>
    <w:rsid w:val="003769A0"/>
    <w:rsid w:val="003C0998"/>
    <w:rsid w:val="003D1D8F"/>
    <w:rsid w:val="00411211"/>
    <w:rsid w:val="0041136E"/>
    <w:rsid w:val="004B39E8"/>
    <w:rsid w:val="004E3446"/>
    <w:rsid w:val="005402D9"/>
    <w:rsid w:val="00572259"/>
    <w:rsid w:val="005B73B8"/>
    <w:rsid w:val="005F51F3"/>
    <w:rsid w:val="00702E10"/>
    <w:rsid w:val="007B4C9E"/>
    <w:rsid w:val="007E587F"/>
    <w:rsid w:val="00870A10"/>
    <w:rsid w:val="00931F1C"/>
    <w:rsid w:val="00A977F8"/>
    <w:rsid w:val="00AB59F5"/>
    <w:rsid w:val="00AD0C77"/>
    <w:rsid w:val="00AF018E"/>
    <w:rsid w:val="00B244EA"/>
    <w:rsid w:val="00B46736"/>
    <w:rsid w:val="00C157DA"/>
    <w:rsid w:val="00C338AF"/>
    <w:rsid w:val="00C8189C"/>
    <w:rsid w:val="00CF25EA"/>
    <w:rsid w:val="00D63C32"/>
    <w:rsid w:val="00E23295"/>
    <w:rsid w:val="00E47C1F"/>
    <w:rsid w:val="00E628A9"/>
    <w:rsid w:val="00E63630"/>
    <w:rsid w:val="00E75218"/>
    <w:rsid w:val="00F372E5"/>
    <w:rsid w:val="00F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F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89C"/>
    <w:pPr>
      <w:spacing w:after="40"/>
      <w:jc w:val="both"/>
    </w:pPr>
    <w:rPr>
      <w:rFonts w:ascii="Palatino Linotype" w:eastAsia="Calibri" w:hAnsi="Palatino Linotype" w:cstheme="minorHAnsi"/>
      <w:color w:val="00000A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47B41"/>
    <w:pPr>
      <w:keepNext/>
      <w:keepLines/>
      <w:numPr>
        <w:numId w:val="1"/>
      </w:numPr>
      <w:shd w:val="clear" w:color="auto" w:fill="D9D9D9" w:themeFill="background1" w:themeFillShade="D9"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21EB"/>
    <w:pPr>
      <w:keepNext/>
      <w:keepLines/>
      <w:numPr>
        <w:ilvl w:val="1"/>
        <w:numId w:val="1"/>
      </w:numPr>
      <w:pBdr>
        <w:bottom w:val="single" w:sz="4" w:space="1" w:color="00000A"/>
      </w:pBdr>
      <w:spacing w:before="120" w:after="0"/>
      <w:ind w:left="578" w:hanging="578"/>
      <w:jc w:val="left"/>
      <w:outlineLvl w:val="1"/>
    </w:pPr>
    <w:rPr>
      <w:rFonts w:eastAsiaTheme="majorEastAsia" w:cstheme="majorBidi"/>
      <w:i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1CB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1CB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1CB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1CB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1CB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1CB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1CB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basedOn w:val="Bekezdsalapbettpusa"/>
    <w:link w:val="Cm"/>
    <w:uiPriority w:val="10"/>
    <w:qFormat/>
    <w:rsid w:val="00A91CB2"/>
    <w:rPr>
      <w:rFonts w:ascii="Palatino Linotype" w:eastAsiaTheme="majorEastAsia" w:hAnsi="Palatino Linotype" w:cstheme="majorBidi"/>
      <w:b/>
      <w:caps/>
      <w:spacing w:val="-10"/>
      <w:sz w:val="32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047B41"/>
    <w:rPr>
      <w:rFonts w:ascii="Palatino Linotype" w:eastAsiaTheme="majorEastAsia" w:hAnsi="Palatino Linotype" w:cstheme="majorBidi"/>
      <w:caps/>
      <w:sz w:val="24"/>
      <w:szCs w:val="32"/>
      <w:shd w:val="clear" w:color="auto" w:fill="D9D9D9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C621EB"/>
    <w:rPr>
      <w:rFonts w:ascii="Palatino Linotype" w:eastAsiaTheme="majorEastAsia" w:hAnsi="Palatino Linotype" w:cstheme="majorBidi"/>
      <w:i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A91C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A91CB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A91CB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A91C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nternetLink">
    <w:name w:val="Internet Link"/>
    <w:basedOn w:val="Bekezdsalapbettpusa"/>
    <w:uiPriority w:val="99"/>
    <w:unhideWhenUsed/>
    <w:rsid w:val="00A03517"/>
    <w:rPr>
      <w:color w:val="0563C1" w:themeColor="hyperlink"/>
      <w:u w:val="single"/>
    </w:rPr>
  </w:style>
  <w:style w:type="character" w:customStyle="1" w:styleId="szovegChar">
    <w:name w:val="szoveg Char"/>
    <w:qFormat/>
    <w:rsid w:val="001E632A"/>
    <w:rPr>
      <w:rFonts w:ascii="Times New Roman" w:eastAsia="Times New Roman" w:hAnsi="Times New Roman" w:cs="Times New Roman"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0D01B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Arial" w:eastAsia="Noto Sans CJK SC Regular" w:hAnsi="Arial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Times New Roman" w:hAnsi="Times New Roman"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Times New Roman" w:hAnsi="Times New Roman" w:cs="FreeSans"/>
      <w:i/>
      <w:iCs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ascii="Times New Roman" w:hAnsi="Times New Roman" w:cs="FreeSans"/>
    </w:rPr>
  </w:style>
  <w:style w:type="paragraph" w:styleId="Cm">
    <w:name w:val="Title"/>
    <w:basedOn w:val="Norml"/>
    <w:next w:val="Norml"/>
    <w:link w:val="CmChar"/>
    <w:uiPriority w:val="10"/>
    <w:qFormat/>
    <w:rsid w:val="00A91CB2"/>
    <w:pPr>
      <w:spacing w:after="0"/>
      <w:contextualSpacing/>
    </w:pPr>
    <w:rPr>
      <w:rFonts w:eastAsiaTheme="majorEastAsia" w:cstheme="majorBidi"/>
      <w:b/>
      <w:caps/>
      <w:spacing w:val="-10"/>
      <w:sz w:val="32"/>
      <w:szCs w:val="56"/>
    </w:rPr>
  </w:style>
  <w:style w:type="paragraph" w:styleId="Listaszerbekezds">
    <w:name w:val="List Paragraph"/>
    <w:basedOn w:val="Norml"/>
    <w:uiPriority w:val="34"/>
    <w:qFormat/>
    <w:rsid w:val="00DB6E76"/>
    <w:pPr>
      <w:ind w:left="720"/>
      <w:contextualSpacing/>
    </w:pPr>
  </w:style>
  <w:style w:type="paragraph" w:customStyle="1" w:styleId="listaszoveg">
    <w:name w:val="listaszoveg"/>
    <w:basedOn w:val="Norml"/>
    <w:qFormat/>
    <w:rsid w:val="00175BAF"/>
    <w:pPr>
      <w:tabs>
        <w:tab w:val="left" w:pos="567"/>
      </w:tabs>
      <w:spacing w:after="0"/>
      <w:ind w:left="567" w:hanging="567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lcim">
    <w:name w:val="alcim"/>
    <w:basedOn w:val="Norml"/>
    <w:qFormat/>
    <w:rsid w:val="00175BAF"/>
    <w:pPr>
      <w:keepNext/>
      <w:spacing w:before="120" w:after="120"/>
    </w:pPr>
    <w:rPr>
      <w:rFonts w:ascii="Times New Roman" w:eastAsia="Times New Roman" w:hAnsi="Times New Roman" w:cs="Times New Roman"/>
      <w:b/>
      <w:bCs/>
      <w:szCs w:val="28"/>
    </w:rPr>
  </w:style>
  <w:style w:type="paragraph" w:customStyle="1" w:styleId="szoveg">
    <w:name w:val="szoveg"/>
    <w:basedOn w:val="Norml"/>
    <w:qFormat/>
    <w:rsid w:val="001E632A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0D01B8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l"/>
    <w:qFormat/>
  </w:style>
  <w:style w:type="paragraph" w:customStyle="1" w:styleId="TableHeading">
    <w:name w:val="Table Heading"/>
    <w:basedOn w:val="TableContents"/>
    <w:qFormat/>
  </w:style>
  <w:style w:type="table" w:styleId="Rcsostblzat">
    <w:name w:val="Table Grid"/>
    <w:basedOn w:val="Normltblzat"/>
    <w:rsid w:val="0079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4C9E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70A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0A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0A10"/>
    <w:rPr>
      <w:rFonts w:ascii="Palatino Linotype" w:eastAsia="Calibri" w:hAnsi="Palatino Linotype" w:cstheme="minorHAnsi"/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A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A10"/>
    <w:rPr>
      <w:rFonts w:ascii="Palatino Linotype" w:eastAsia="Calibri" w:hAnsi="Palatino Linotype" w:cstheme="minorHAnsi"/>
      <w:b/>
      <w:bCs/>
      <w:color w:val="00000A"/>
      <w:szCs w:val="20"/>
    </w:rPr>
  </w:style>
  <w:style w:type="paragraph" w:styleId="Vltozat">
    <w:name w:val="Revision"/>
    <w:hidden/>
    <w:uiPriority w:val="99"/>
    <w:semiHidden/>
    <w:rsid w:val="005B73B8"/>
    <w:rPr>
      <w:rFonts w:ascii="Palatino Linotype" w:eastAsia="Calibri" w:hAnsi="Palatino Linotype" w:cstheme="minorHAnsi"/>
      <w:color w:val="00000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89C"/>
    <w:pPr>
      <w:spacing w:after="40"/>
      <w:jc w:val="both"/>
    </w:pPr>
    <w:rPr>
      <w:rFonts w:ascii="Palatino Linotype" w:eastAsia="Calibri" w:hAnsi="Palatino Linotype" w:cstheme="minorHAnsi"/>
      <w:color w:val="00000A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47B41"/>
    <w:pPr>
      <w:keepNext/>
      <w:keepLines/>
      <w:numPr>
        <w:numId w:val="1"/>
      </w:numPr>
      <w:shd w:val="clear" w:color="auto" w:fill="D9D9D9" w:themeFill="background1" w:themeFillShade="D9"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21EB"/>
    <w:pPr>
      <w:keepNext/>
      <w:keepLines/>
      <w:numPr>
        <w:ilvl w:val="1"/>
        <w:numId w:val="1"/>
      </w:numPr>
      <w:pBdr>
        <w:bottom w:val="single" w:sz="4" w:space="1" w:color="00000A"/>
      </w:pBdr>
      <w:spacing w:before="120" w:after="0"/>
      <w:ind w:left="578" w:hanging="578"/>
      <w:jc w:val="left"/>
      <w:outlineLvl w:val="1"/>
    </w:pPr>
    <w:rPr>
      <w:rFonts w:eastAsiaTheme="majorEastAsia" w:cstheme="majorBidi"/>
      <w:i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1CB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1CB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1CB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1CB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1CB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1CB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1CB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basedOn w:val="Bekezdsalapbettpusa"/>
    <w:link w:val="Cm"/>
    <w:uiPriority w:val="10"/>
    <w:qFormat/>
    <w:rsid w:val="00A91CB2"/>
    <w:rPr>
      <w:rFonts w:ascii="Palatino Linotype" w:eastAsiaTheme="majorEastAsia" w:hAnsi="Palatino Linotype" w:cstheme="majorBidi"/>
      <w:b/>
      <w:caps/>
      <w:spacing w:val="-10"/>
      <w:sz w:val="32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047B41"/>
    <w:rPr>
      <w:rFonts w:ascii="Palatino Linotype" w:eastAsiaTheme="majorEastAsia" w:hAnsi="Palatino Linotype" w:cstheme="majorBidi"/>
      <w:caps/>
      <w:sz w:val="24"/>
      <w:szCs w:val="32"/>
      <w:shd w:val="clear" w:color="auto" w:fill="D9D9D9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C621EB"/>
    <w:rPr>
      <w:rFonts w:ascii="Palatino Linotype" w:eastAsiaTheme="majorEastAsia" w:hAnsi="Palatino Linotype" w:cstheme="majorBidi"/>
      <w:i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A91C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A91CB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A91CB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A91C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nternetLink">
    <w:name w:val="Internet Link"/>
    <w:basedOn w:val="Bekezdsalapbettpusa"/>
    <w:uiPriority w:val="99"/>
    <w:unhideWhenUsed/>
    <w:rsid w:val="00A03517"/>
    <w:rPr>
      <w:color w:val="0563C1" w:themeColor="hyperlink"/>
      <w:u w:val="single"/>
    </w:rPr>
  </w:style>
  <w:style w:type="character" w:customStyle="1" w:styleId="szovegChar">
    <w:name w:val="szoveg Char"/>
    <w:qFormat/>
    <w:rsid w:val="001E632A"/>
    <w:rPr>
      <w:rFonts w:ascii="Times New Roman" w:eastAsia="Times New Roman" w:hAnsi="Times New Roman" w:cs="Times New Roman"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0D01B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Arial" w:eastAsia="Noto Sans CJK SC Regular" w:hAnsi="Arial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Times New Roman" w:hAnsi="Times New Roman"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Times New Roman" w:hAnsi="Times New Roman" w:cs="FreeSans"/>
      <w:i/>
      <w:iCs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ascii="Times New Roman" w:hAnsi="Times New Roman" w:cs="FreeSans"/>
    </w:rPr>
  </w:style>
  <w:style w:type="paragraph" w:styleId="Cm">
    <w:name w:val="Title"/>
    <w:basedOn w:val="Norml"/>
    <w:next w:val="Norml"/>
    <w:link w:val="CmChar"/>
    <w:uiPriority w:val="10"/>
    <w:qFormat/>
    <w:rsid w:val="00A91CB2"/>
    <w:pPr>
      <w:spacing w:after="0"/>
      <w:contextualSpacing/>
    </w:pPr>
    <w:rPr>
      <w:rFonts w:eastAsiaTheme="majorEastAsia" w:cstheme="majorBidi"/>
      <w:b/>
      <w:caps/>
      <w:spacing w:val="-10"/>
      <w:sz w:val="32"/>
      <w:szCs w:val="56"/>
    </w:rPr>
  </w:style>
  <w:style w:type="paragraph" w:styleId="Listaszerbekezds">
    <w:name w:val="List Paragraph"/>
    <w:basedOn w:val="Norml"/>
    <w:uiPriority w:val="34"/>
    <w:qFormat/>
    <w:rsid w:val="00DB6E76"/>
    <w:pPr>
      <w:ind w:left="720"/>
      <w:contextualSpacing/>
    </w:pPr>
  </w:style>
  <w:style w:type="paragraph" w:customStyle="1" w:styleId="listaszoveg">
    <w:name w:val="listaszoveg"/>
    <w:basedOn w:val="Norml"/>
    <w:qFormat/>
    <w:rsid w:val="00175BAF"/>
    <w:pPr>
      <w:tabs>
        <w:tab w:val="left" w:pos="567"/>
      </w:tabs>
      <w:spacing w:after="0"/>
      <w:ind w:left="567" w:hanging="567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lcim">
    <w:name w:val="alcim"/>
    <w:basedOn w:val="Norml"/>
    <w:qFormat/>
    <w:rsid w:val="00175BAF"/>
    <w:pPr>
      <w:keepNext/>
      <w:spacing w:before="120" w:after="120"/>
    </w:pPr>
    <w:rPr>
      <w:rFonts w:ascii="Times New Roman" w:eastAsia="Times New Roman" w:hAnsi="Times New Roman" w:cs="Times New Roman"/>
      <w:b/>
      <w:bCs/>
      <w:szCs w:val="28"/>
    </w:rPr>
  </w:style>
  <w:style w:type="paragraph" w:customStyle="1" w:styleId="szoveg">
    <w:name w:val="szoveg"/>
    <w:basedOn w:val="Norml"/>
    <w:qFormat/>
    <w:rsid w:val="001E632A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0D01B8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l"/>
    <w:qFormat/>
  </w:style>
  <w:style w:type="paragraph" w:customStyle="1" w:styleId="TableHeading">
    <w:name w:val="Table Heading"/>
    <w:basedOn w:val="TableContents"/>
    <w:qFormat/>
  </w:style>
  <w:style w:type="table" w:styleId="Rcsostblzat">
    <w:name w:val="Table Grid"/>
    <w:basedOn w:val="Normltblzat"/>
    <w:rsid w:val="0079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4C9E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70A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0A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0A10"/>
    <w:rPr>
      <w:rFonts w:ascii="Palatino Linotype" w:eastAsia="Calibri" w:hAnsi="Palatino Linotype" w:cstheme="minorHAnsi"/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A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A10"/>
    <w:rPr>
      <w:rFonts w:ascii="Palatino Linotype" w:eastAsia="Calibri" w:hAnsi="Palatino Linotype" w:cstheme="minorHAnsi"/>
      <w:b/>
      <w:bCs/>
      <w:color w:val="00000A"/>
      <w:szCs w:val="20"/>
    </w:rPr>
  </w:style>
  <w:style w:type="paragraph" w:styleId="Vltozat">
    <w:name w:val="Revision"/>
    <w:hidden/>
    <w:uiPriority w:val="99"/>
    <w:semiHidden/>
    <w:rsid w:val="005B73B8"/>
    <w:rPr>
      <w:rFonts w:ascii="Palatino Linotype" w:eastAsia="Calibri" w:hAnsi="Palatino Linotype" w:cstheme="minorHAns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to.bme.hu/BMEEOEM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mailto:kopecsko.katalin@epito.bme.hu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pecsko.katalin@epito.bm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57E1-2E03-4A15-ABD1-CE4389E5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BME GPK EGR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Bihari Péter</dc:creator>
  <cp:lastModifiedBy>KK</cp:lastModifiedBy>
  <cp:revision>2</cp:revision>
  <cp:lastPrinted>2016-04-18T11:21:00Z</cp:lastPrinted>
  <dcterms:created xsi:type="dcterms:W3CDTF">2017-10-02T13:27:00Z</dcterms:created>
  <dcterms:modified xsi:type="dcterms:W3CDTF">2017-10-02T13:27:00Z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BME GPK EGR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